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Calibri" w:cs="Calibri" w:eastAsia="Calibri" w:hAnsi="Calibri"/>
          <w:b/>
          <w:bCs/>
          <w:color w:val="1F4E79"/>
          <w:spacing w:val="30"/>
          <w:sz w:val="16"/>
          <w:szCs w:val="16"/>
        </w:rPr>
        <w:t xml:space="preserve">————————————————  (SCHEME NAME)</w:t>
      </w:r>
    </w:p>
    <w:p>
      <w:pPr>
        <w:spacing w:after="120"/>
      </w:pPr>
      <w:r>
        <w:rPr>
          <w:rFonts w:ascii="Cambria" w:cs="Cambria" w:eastAsia="Cambria" w:hAnsi="Cambria"/>
          <w:b/>
          <w:bCs/>
          <w:color w:val="14181D"/>
          <w:sz w:val="56"/>
          <w:szCs w:val="56"/>
        </w:rPr>
        <w:t xml:space="preserve">If the system is down</w:t>
      </w:r>
    </w:p>
    <w:p>
      <w:pPr>
        <w:spacing w:after="300" w:line="264"/>
      </w:pPr>
      <w:r>
        <w:rPr>
          <w:rFonts w:ascii="Calibri" w:cs="Calibri" w:eastAsia="Calibri" w:hAnsi="Calibri"/>
          <w:color w:val="4A5460"/>
          <w:sz w:val="23"/>
          <w:szCs w:val="23"/>
        </w:rPr>
        <w:t xml:space="preserve">The paper procedure, with eight forms. Print it before you need it — a fallback that only exists inside the application is not a fallback for the application being unavailable.</w:t>
      </w:r>
    </w:p>
    <w:p>
      <w:pPr>
        <w:pBdr>
          <w:top w:val="single" w:color="C9C6BE" w:sz="4" w:space="10"/>
        </w:pBdr>
        <w:spacing w:after="120" w:before="200"/>
      </w:pPr>
      <w:r>
        <w:rPr>
          <w:rFonts w:ascii="Cambria" w:cs="Cambria" w:eastAsia="Cambria" w:hAnsi="Cambria"/>
          <w:b/>
          <w:bCs/>
          <w:color w:val="14181D"/>
          <w:sz w:val="28"/>
          <w:szCs w:val="28"/>
        </w:rPr>
        <w:t xml:space="preserve">The principle</w:t>
      </w:r>
    </w:p>
    <w:tbl>
      <w:tblPr>
        <w:tblW w:type="pct" w:w="100%"/>
        <w:tblBorders>
          <w:top w:val="none" w:color="FFFFFF" w:sz="0"/>
          <w:left w:val="single" w:color="1F4E79" w:sz="18"/>
          <w:bottom w:val="none" w:color="FFFFFF" w:sz="0"/>
          <w:right w:val="none" w:color="FFFFFF" w:sz="0"/>
          <w:insideH w:val="single" w:color="auto" w:sz="4"/>
          <w:insideV w:val="single" w:color="auto" w:sz="4"/>
        </w:tblBorders>
      </w:tblPr>
      <w:tblGrid>
        <w:gridCol w:w="100"/>
      </w:tblGrid>
      <w:tr>
        <w:tc>
          <w:tcPr>
            <w:shd w:fill="EAF0F6" w:val="clear"/>
            <w:tcMar>
              <w:top w:type="dxa" w:w="160"/>
              <w:left w:type="dxa" w:w="200"/>
              <w:bottom w:type="dxa" w:w="160"/>
              <w:right w:type="dxa" w:w="200"/>
            </w:tcMar>
          </w:tcPr>
          <w:p>
            <w:pPr>
              <w:spacing w:after="120" w:line="264"/>
            </w:pPr>
            <w:r>
              <w:rPr>
                <w:rFonts w:ascii="Calibri" w:cs="Calibri" w:eastAsia="Calibri" w:hAnsi="Calibri"/>
                <w:b/>
                <w:bCs/>
                <w:color w:val="14181D"/>
                <w:sz w:val="21"/>
                <w:szCs w:val="21"/>
              </w:rPr>
              <w:t xml:space="preserve">Nothing here authorises anything the system would not have authorised.</w:t>
            </w:r>
          </w:p>
          <w:p>
            <w:pPr>
              <w:spacing w:after="120" w:line="264"/>
            </w:pPr>
            <w:r>
              <w:rPr>
                <w:rFonts w:ascii="Calibri" w:cs="Calibri" w:eastAsia="Calibri" w:hAnsi="Calibri"/>
                <w:color w:val="14181D"/>
                <w:sz w:val="21"/>
                <w:szCs w:val="21"/>
              </w:rPr>
              <w:t xml:space="preserve">These forms exist so a Committee decision can still be </w:t>
            </w:r>
            <w:r>
              <w:rPr>
                <w:rFonts w:ascii="Calibri" w:cs="Calibri" w:eastAsia="Calibri" w:hAnsi="Calibri"/>
                <w:i/>
                <w:iCs/>
                <w:color w:val="14181D"/>
                <w:sz w:val="21"/>
                <w:szCs w:val="21"/>
              </w:rPr>
              <w:t xml:space="preserve">made and recorded</w:t>
            </w:r>
            <w:r>
              <w:rPr>
                <w:rFonts w:ascii="Calibri" w:cs="Calibri" w:eastAsia="Calibri" w:hAnsi="Calibri"/>
                <w:color w:val="14181D"/>
                <w:sz w:val="21"/>
                <w:szCs w:val="21"/>
              </w:rPr>
              <w:t xml:space="preserve"> when the software is unavailable. They do not create a faster path, a looser standard, or an emergency power. The two-person rule, the 30-minute cooling-off period and the requirement for written reasons all apply exactly as they do on screen, because they come from the by-laws, the towing agreement and the adopted procedure — not from the software.</w:t>
            </w:r>
          </w:p>
          <w:p>
            <w:pPr>
              <w:spacing w:after="0" w:line="264"/>
            </w:pPr>
            <w:r>
              <w:rPr>
                <w:rFonts w:ascii="Calibri" w:cs="Calibri" w:eastAsia="Calibri" w:hAnsi="Calibri"/>
                <w:color w:val="14181D"/>
                <w:sz w:val="21"/>
                <w:szCs w:val="21"/>
              </w:rPr>
              <w:t xml:space="preserve">If the answer on paper differs from the answer the system would have given, the paper answer is wrong.</w:t>
            </w:r>
          </w:p>
        </w:tc>
      </w:tr>
    </w:tbl>
    <w:p>
      <w:pPr>
        <w:spacing w:after="200"/>
      </w:pPr>
    </w:p>
    <w:p>
      <w:pPr>
        <w:pBdr>
          <w:top w:val="single" w:color="C9C6BE" w:sz="4" w:space="10"/>
        </w:pBdr>
        <w:spacing w:after="120" w:before="320"/>
      </w:pPr>
      <w:r>
        <w:rPr>
          <w:rFonts w:ascii="Cambria" w:cs="Cambria" w:eastAsia="Cambria" w:hAnsi="Cambria"/>
          <w:b/>
          <w:bCs/>
          <w:color w:val="14181D"/>
          <w:sz w:val="28"/>
          <w:szCs w:val="28"/>
        </w:rPr>
        <w:t xml:space="preserve">What “down” means, and what to do about each</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4200"/>
        <w:gridCol w:w="1800"/>
        <w:gridCol w:w="3600"/>
      </w:tblGrid>
      <w:tr>
        <w:trPr>
          <w:tblHeader/>
        </w:trPr>
        <w:tc>
          <w:tcPr>
            <w:tcW w:type="dxa" w:w="420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What has happened</w:t>
            </w:r>
          </w:p>
        </w:tc>
        <w:tc>
          <w:tcPr>
            <w:tcW w:type="dxa" w:w="180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Can you still work?</w:t>
            </w:r>
          </w:p>
        </w:tc>
        <w:tc>
          <w:tcPr>
            <w:tcW w:type="dxa" w:w="360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Do this</w:t>
            </w:r>
          </w:p>
        </w:tc>
      </w:tr>
      <w:tr>
        <w:trPr>
          <w:trHeight w:val="420" w:hRule="atLeast"/>
        </w:trPr>
        <w:tc>
          <w:tcPr>
            <w:tcW w:type="dxa" w:w="4200"/>
            <w:tcMar>
              <w:top w:type="dxa" w:w="60"/>
              <w:left w:type="dxa" w:w="100"/>
              <w:bottom w:type="dxa" w:w="60"/>
              <w:right w:type="dxa" w:w="100"/>
            </w:tcMar>
          </w:tcPr>
          <w:p>
            <w:r>
              <w:rPr>
                <w:rFonts w:ascii="Calibri" w:cs="Calibri" w:eastAsia="Calibri" w:hAnsi="Calibri"/>
                <w:color w:val="14181D"/>
                <w:sz w:val="18"/>
                <w:szCs w:val="18"/>
              </w:rPr>
              <w:t xml:space="preserve">The website will not load at all</w:t>
            </w:r>
          </w:p>
        </w:tc>
        <w:tc>
          <w:tcPr>
            <w:tcW w:type="dxa" w:w="1800"/>
            <w:tcMar>
              <w:top w:type="dxa" w:w="60"/>
              <w:left w:type="dxa" w:w="100"/>
              <w:bottom w:type="dxa" w:w="60"/>
              <w:right w:type="dxa" w:w="100"/>
            </w:tcMar>
          </w:tcPr>
          <w:p>
            <w:r>
              <w:rPr>
                <w:rFonts w:ascii="Calibri" w:cs="Calibri" w:eastAsia="Calibri" w:hAnsi="Calibri"/>
                <w:color w:val="14181D"/>
                <w:sz w:val="18"/>
                <w:szCs w:val="18"/>
              </w:rPr>
              <w:t xml:space="preserve">No</w:t>
            </w:r>
          </w:p>
        </w:tc>
        <w:tc>
          <w:tcPr>
            <w:tcW w:type="dxa" w:w="3600"/>
            <w:tcMar>
              <w:top w:type="dxa" w:w="60"/>
              <w:left w:type="dxa" w:w="100"/>
              <w:bottom w:type="dxa" w:w="60"/>
              <w:right w:type="dxa" w:w="100"/>
            </w:tcMar>
          </w:tcPr>
          <w:p>
            <w:r>
              <w:rPr>
                <w:rFonts w:ascii="Calibri" w:cs="Calibri" w:eastAsia="Calibri" w:hAnsi="Calibri"/>
                <w:color w:val="14181D"/>
                <w:sz w:val="18"/>
                <w:szCs w:val="18"/>
              </w:rPr>
              <w:t xml:space="preserve">Full paper procedure below</w:t>
            </w:r>
          </w:p>
        </w:tc>
      </w:tr>
      <w:tr>
        <w:trPr>
          <w:trHeight w:val="420" w:hRule="atLeast"/>
        </w:trPr>
        <w:tc>
          <w:tcPr>
            <w:tcW w:type="dxa" w:w="4200"/>
            <w:tcMar>
              <w:top w:type="dxa" w:w="60"/>
              <w:left w:type="dxa" w:w="100"/>
              <w:bottom w:type="dxa" w:w="60"/>
              <w:right w:type="dxa" w:w="100"/>
            </w:tcMar>
          </w:tcPr>
          <w:p>
            <w:r>
              <w:rPr>
                <w:rFonts w:ascii="Calibri" w:cs="Calibri" w:eastAsia="Calibri" w:hAnsi="Calibri"/>
                <w:color w:val="14181D"/>
                <w:sz w:val="18"/>
                <w:szCs w:val="18"/>
              </w:rPr>
              <w:t xml:space="preserve">You can read but not save</w:t>
            </w:r>
          </w:p>
        </w:tc>
        <w:tc>
          <w:tcPr>
            <w:tcW w:type="dxa" w:w="1800"/>
            <w:tcMar>
              <w:top w:type="dxa" w:w="60"/>
              <w:left w:type="dxa" w:w="100"/>
              <w:bottom w:type="dxa" w:w="60"/>
              <w:right w:type="dxa" w:w="100"/>
            </w:tcMar>
          </w:tcPr>
          <w:p>
            <w:r>
              <w:rPr>
                <w:rFonts w:ascii="Calibri" w:cs="Calibri" w:eastAsia="Calibri" w:hAnsi="Calibri"/>
                <w:color w:val="14181D"/>
                <w:sz w:val="18"/>
                <w:szCs w:val="18"/>
              </w:rPr>
              <w:t xml:space="preserve">Partly</w:t>
            </w:r>
          </w:p>
        </w:tc>
        <w:tc>
          <w:tcPr>
            <w:tcW w:type="dxa" w:w="3600"/>
            <w:tcMar>
              <w:top w:type="dxa" w:w="60"/>
              <w:left w:type="dxa" w:w="100"/>
              <w:bottom w:type="dxa" w:w="60"/>
              <w:right w:type="dxa" w:w="100"/>
            </w:tcMar>
          </w:tcPr>
          <w:p>
            <w:r>
              <w:rPr>
                <w:rFonts w:ascii="Calibri" w:cs="Calibri" w:eastAsia="Calibri" w:hAnsi="Calibri"/>
                <w:color w:val="14181D"/>
                <w:sz w:val="18"/>
                <w:szCs w:val="18"/>
              </w:rPr>
              <w:t xml:space="preserve">Read what you need; record new entries on paper</w:t>
            </w:r>
          </w:p>
        </w:tc>
      </w:tr>
      <w:tr>
        <w:trPr>
          <w:trHeight w:val="420" w:hRule="atLeast"/>
        </w:trPr>
        <w:tc>
          <w:tcPr>
            <w:tcW w:type="dxa" w:w="4200"/>
            <w:tcMar>
              <w:top w:type="dxa" w:w="60"/>
              <w:left w:type="dxa" w:w="100"/>
              <w:bottom w:type="dxa" w:w="60"/>
              <w:right w:type="dxa" w:w="100"/>
            </w:tcMar>
          </w:tcPr>
          <w:p>
            <w:r>
              <w:rPr>
                <w:rFonts w:ascii="Calibri" w:cs="Calibri" w:eastAsia="Calibri" w:hAnsi="Calibri"/>
                <w:color w:val="14181D"/>
                <w:sz w:val="18"/>
                <w:szCs w:val="18"/>
              </w:rPr>
              <w:t xml:space="preserve">One page is broken</w:t>
            </w:r>
          </w:p>
        </w:tc>
        <w:tc>
          <w:tcPr>
            <w:tcW w:type="dxa" w:w="1800"/>
            <w:tcMar>
              <w:top w:type="dxa" w:w="60"/>
              <w:left w:type="dxa" w:w="100"/>
              <w:bottom w:type="dxa" w:w="60"/>
              <w:right w:type="dxa" w:w="100"/>
            </w:tcMar>
          </w:tcPr>
          <w:p>
            <w:r>
              <w:rPr>
                <w:rFonts w:ascii="Calibri" w:cs="Calibri" w:eastAsia="Calibri" w:hAnsi="Calibri"/>
                <w:color w:val="14181D"/>
                <w:sz w:val="18"/>
                <w:szCs w:val="18"/>
              </w:rPr>
              <w:t xml:space="preserve">Mostly</w:t>
            </w:r>
          </w:p>
        </w:tc>
        <w:tc>
          <w:tcPr>
            <w:tcW w:type="dxa" w:w="3600"/>
            <w:tcMar>
              <w:top w:type="dxa" w:w="60"/>
              <w:left w:type="dxa" w:w="100"/>
              <w:bottom w:type="dxa" w:w="60"/>
              <w:right w:type="dxa" w:w="100"/>
            </w:tcMar>
          </w:tcPr>
          <w:p>
            <w:r>
              <w:rPr>
                <w:rFonts w:ascii="Calibri" w:cs="Calibri" w:eastAsia="Calibri" w:hAnsi="Calibri"/>
                <w:color w:val="14181D"/>
                <w:sz w:val="18"/>
                <w:szCs w:val="18"/>
              </w:rPr>
              <w:t xml:space="preserve">Use the rest; paper only for that step</w:t>
            </w:r>
          </w:p>
        </w:tc>
      </w:tr>
      <w:tr>
        <w:trPr>
          <w:trHeight w:val="420" w:hRule="atLeast"/>
        </w:trPr>
        <w:tc>
          <w:tcPr>
            <w:tcW w:type="dxa" w:w="4200"/>
            <w:tcMar>
              <w:top w:type="dxa" w:w="60"/>
              <w:left w:type="dxa" w:w="100"/>
              <w:bottom w:type="dxa" w:w="60"/>
              <w:right w:type="dxa" w:w="100"/>
            </w:tcMar>
          </w:tcPr>
          <w:p>
            <w:r>
              <w:rPr>
                <w:rFonts w:ascii="Calibri" w:cs="Calibri" w:eastAsia="Calibri" w:hAnsi="Calibri"/>
                <w:color w:val="14181D"/>
                <w:sz w:val="18"/>
                <w:szCs w:val="18"/>
              </w:rPr>
              <w:t xml:space="preserve">No phone signal in the basement</w:t>
            </w:r>
          </w:p>
        </w:tc>
        <w:tc>
          <w:tcPr>
            <w:tcW w:type="dxa" w:w="1800"/>
            <w:tcMar>
              <w:top w:type="dxa" w:w="60"/>
              <w:left w:type="dxa" w:w="100"/>
              <w:bottom w:type="dxa" w:w="60"/>
              <w:right w:type="dxa" w:w="100"/>
            </w:tcMar>
          </w:tcPr>
          <w:p>
            <w:r>
              <w:rPr>
                <w:rFonts w:ascii="Calibri" w:cs="Calibri" w:eastAsia="Calibri" w:hAnsi="Calibri"/>
                <w:color w:val="14181D"/>
                <w:sz w:val="18"/>
                <w:szCs w:val="18"/>
              </w:rPr>
              <w:t xml:space="preserve">Yes</w:t>
            </w:r>
          </w:p>
        </w:tc>
        <w:tc>
          <w:tcPr>
            <w:tcW w:type="dxa" w:w="3600"/>
            <w:tcMar>
              <w:top w:type="dxa" w:w="60"/>
              <w:left w:type="dxa" w:w="100"/>
              <w:bottom w:type="dxa" w:w="60"/>
              <w:right w:type="dxa" w:w="100"/>
            </w:tcMar>
          </w:tcPr>
          <w:p>
            <w:r>
              <w:rPr>
                <w:rFonts w:ascii="Calibri" w:cs="Calibri" w:eastAsia="Calibri" w:hAnsi="Calibri"/>
                <w:color w:val="14181D"/>
                <w:sz w:val="18"/>
                <w:szCs w:val="18"/>
              </w:rPr>
              <w:t xml:space="preserve">Write on paper, enter it when you are back upstairs</w:t>
            </w:r>
          </w:p>
        </w:tc>
      </w:tr>
    </w:tbl>
    <w:p>
      <w:pPr>
        <w:spacing w:after="160"/>
      </w:pPr>
    </w:p>
    <w:p>
      <w:pPr>
        <w:spacing w:after="120" w:line="264"/>
      </w:pPr>
      <w:r>
        <w:rPr>
          <w:rFonts w:ascii="Calibri" w:cs="Calibri" w:eastAsia="Calibri" w:hAnsi="Calibri"/>
          <w:color w:val="14181D"/>
          <w:sz w:val="21"/>
          <w:szCs w:val="21"/>
        </w:rPr>
        <w:t xml:space="preserve">The last row is the common one. The application was built expecting an onsite manager to be out of signal while observing. Recording on paper and entering it later is ordinary practice, not an incident.</w:t>
      </w:r>
    </w:p>
    <w:p>
      <w:pPr>
        <w:pBdr>
          <w:top w:val="single" w:color="C9C6BE" w:sz="4" w:space="10"/>
        </w:pBdr>
        <w:spacing w:after="120" w:before="320"/>
      </w:pPr>
      <w:r>
        <w:rPr>
          <w:rFonts w:ascii="Cambria" w:cs="Cambria" w:eastAsia="Cambria" w:hAnsi="Cambria"/>
          <w:b/>
          <w:bCs/>
          <w:color w:val="14181D"/>
          <w:sz w:val="28"/>
          <w:szCs w:val="28"/>
        </w:rPr>
        <w:t xml:space="preserve">Before anything goes wrong</w:t>
      </w:r>
    </w:p>
    <w:p>
      <w:pPr>
        <w:spacing w:after="120" w:line="264"/>
      </w:pPr>
      <w:r>
        <w:rPr>
          <w:rFonts w:ascii="Calibri" w:cs="Calibri" w:eastAsia="Calibri" w:hAnsi="Calibri"/>
          <w:color w:val="14181D"/>
          <w:sz w:val="21"/>
          <w:szCs w:val="21"/>
        </w:rPr>
        <w:t xml:space="preserve">Three things have to be on paper </w:t>
      </w:r>
      <w:r>
        <w:rPr>
          <w:rFonts w:ascii="Calibri" w:cs="Calibri" w:eastAsia="Calibri" w:hAnsi="Calibri"/>
          <w:b/>
          <w:bCs/>
          <w:color w:val="14181D"/>
          <w:sz w:val="21"/>
          <w:szCs w:val="21"/>
        </w:rPr>
        <w:t xml:space="preserve">in advance</w:t>
      </w:r>
      <w:r>
        <w:rPr>
          <w:rFonts w:ascii="Calibri" w:cs="Calibri" w:eastAsia="Calibri" w:hAnsi="Calibri"/>
          <w:color w:val="14181D"/>
          <w:sz w:val="21"/>
          <w:szCs w:val="21"/>
        </w:rPr>
        <w:t xml:space="preserve">, because they cannot be looked up when the system is unavailable.</w:t>
      </w:r>
    </w:p>
    <w:p>
      <w:pPr>
        <w:pStyle w:val="ListParagraph"/>
        <w:numPr>
          <w:ilvl w:val="0"/>
          <w:numId w:val="2"/>
        </w:numPr>
        <w:spacing w:after="60" w:line="264"/>
      </w:pPr>
      <w:r>
        <w:rPr>
          <w:rFonts w:ascii="Calibri" w:cs="Calibri" w:eastAsia="Calibri" w:hAnsi="Calibri"/>
          <w:b/>
          <w:bCs/>
          <w:color w:val="14181D"/>
          <w:sz w:val="21"/>
          <w:szCs w:val="21"/>
        </w:rPr>
        <w:t xml:space="preserve">The current resident and vehicle register.</w:t>
      </w:r>
      <w:r>
        <w:rPr>
          <w:rFonts w:ascii="Calibri" w:cs="Calibri" w:eastAsia="Calibri" w:hAnsi="Calibri"/>
          <w:color w:val="14181D"/>
          <w:sz w:val="21"/>
          <w:szCs w:val="21"/>
        </w:rPr>
        <w:t xml:space="preserve"> Print it monthly from Committee → Residents and lots, and Committee → Vehicle register. Date the printout. A register a month old is still far better than none, but its age must be written on it and weighed before it is relied upon.</w:t>
      </w:r>
    </w:p>
    <w:p>
      <w:pPr>
        <w:pStyle w:val="ListParagraph"/>
        <w:numPr>
          <w:ilvl w:val="0"/>
          <w:numId w:val="2"/>
        </w:numPr>
        <w:spacing w:after="60" w:line="264"/>
      </w:pPr>
      <w:r>
        <w:rPr>
          <w:rFonts w:ascii="Calibri" w:cs="Calibri" w:eastAsia="Calibri" w:hAnsi="Calibri"/>
          <w:b/>
          <w:bCs/>
          <w:color w:val="14181D"/>
          <w:sz w:val="21"/>
          <w:szCs w:val="21"/>
        </w:rPr>
        <w:t xml:space="preserve">Who is on the Committee</w:t>
      </w:r>
      <w:r>
        <w:rPr>
          <w:rFonts w:ascii="Calibri" w:cs="Calibri" w:eastAsia="Calibri" w:hAnsi="Calibri"/>
          <w:color w:val="14181D"/>
          <w:sz w:val="21"/>
          <w:szCs w:val="21"/>
        </w:rPr>
        <w:t xml:space="preserve">, with positions and any standing conflicts.</w:t>
      </w:r>
    </w:p>
    <w:p>
      <w:pPr>
        <w:pStyle w:val="ListParagraph"/>
        <w:numPr>
          <w:ilvl w:val="0"/>
          <w:numId w:val="2"/>
        </w:numPr>
        <w:spacing w:after="60" w:line="264"/>
      </w:pPr>
      <w:r>
        <w:rPr>
          <w:rFonts w:ascii="Calibri" w:cs="Calibri" w:eastAsia="Calibri" w:hAnsi="Calibri"/>
          <w:b/>
          <w:bCs/>
          <w:color w:val="14181D"/>
          <w:sz w:val="21"/>
          <w:szCs w:val="21"/>
        </w:rPr>
        <w:t xml:space="preserve">The towing agreement’s authorised contacts</w:t>
      </w:r>
      <w:r>
        <w:rPr>
          <w:rFonts w:ascii="Calibri" w:cs="Calibri" w:eastAsia="Calibri" w:hAnsi="Calibri"/>
          <w:color w:val="14181D"/>
          <w:sz w:val="21"/>
          <w:szCs w:val="21"/>
        </w:rPr>
        <w:t xml:space="preserve"> — the people the agreement names as entitled to order a tow — and the primary contractor’s telephone number.</w:t>
      </w:r>
    </w:p>
    <w:p>
      <w:pPr>
        <w:spacing w:after="120" w:line="264"/>
      </w:pPr>
      <w:r>
        <w:rPr>
          <w:rFonts w:ascii="Calibri" w:cs="Calibri" w:eastAsia="Calibri" w:hAnsi="Calibri"/>
          <w:color w:val="14181D"/>
          <w:sz w:val="21"/>
          <w:szCs w:val="21"/>
        </w:rPr>
        <w:t xml:space="preserve">Without the first, you cannot tell a visitor’s car from a resident’s, and that single distinction is what most of this procedure turns on.</w:t>
      </w:r>
    </w:p>
    <w:p>
      <w:pPr>
        <w:pBdr>
          <w:top w:val="single" w:color="C9C6BE" w:sz="4" w:space="10"/>
        </w:pBdr>
        <w:spacing w:after="120" w:before="320"/>
      </w:pPr>
      <w:r>
        <w:rPr>
          <w:rFonts w:ascii="Cambria" w:cs="Cambria" w:eastAsia="Cambria" w:hAnsi="Cambria"/>
          <w:b/>
          <w:bCs/>
          <w:color w:val="14181D"/>
          <w:sz w:val="28"/>
          <w:szCs w:val="28"/>
        </w:rPr>
        <w:t xml:space="preserve">Procedure 1 — Recording an observation</w:t>
      </w:r>
    </w:p>
    <w:p>
      <w:pPr>
        <w:spacing w:after="120" w:line="264"/>
      </w:pPr>
      <w:r>
        <w:rPr>
          <w:rFonts w:ascii="Calibri" w:cs="Calibri" w:eastAsia="Calibri" w:hAnsi="Calibri"/>
          <w:color w:val="4A5460"/>
          <w:sz w:val="19"/>
          <w:szCs w:val="19"/>
        </w:rPr>
        <w:t xml:space="preserve">Use Form A.</w:t>
      </w:r>
    </w:p>
    <w:p>
      <w:pPr>
        <w:pStyle w:val="ListParagraph"/>
        <w:numPr>
          <w:ilvl w:val="0"/>
          <w:numId w:val="3"/>
        </w:numPr>
        <w:spacing w:after="60" w:line="264"/>
      </w:pPr>
      <w:r>
        <w:rPr>
          <w:rFonts w:ascii="Calibri" w:cs="Calibri" w:eastAsia="Calibri" w:hAnsi="Calibri"/>
          <w:color w:val="14181D"/>
          <w:sz w:val="21"/>
          <w:szCs w:val="21"/>
        </w:rPr>
        <w:t xml:space="preserve">Write the registration exactly as it appears on the plate, and the state.</w:t>
      </w:r>
    </w:p>
    <w:p>
      <w:pPr>
        <w:pStyle w:val="ListParagraph"/>
        <w:numPr>
          <w:ilvl w:val="0"/>
          <w:numId w:val="3"/>
        </w:numPr>
        <w:spacing w:after="60" w:line="264"/>
      </w:pPr>
      <w:r>
        <w:rPr>
          <w:rFonts w:ascii="Calibri" w:cs="Calibri" w:eastAsia="Calibri" w:hAnsi="Calibri"/>
          <w:color w:val="14181D"/>
          <w:sz w:val="21"/>
          <w:szCs w:val="21"/>
        </w:rPr>
        <w:t xml:space="preserve">Note the date, time and location of the first observation.</w:t>
      </w:r>
    </w:p>
    <w:p>
      <w:pPr>
        <w:pStyle w:val="ListParagraph"/>
        <w:numPr>
          <w:ilvl w:val="0"/>
          <w:numId w:val="3"/>
        </w:numPr>
        <w:spacing w:after="60" w:line="264"/>
      </w:pPr>
      <w:r>
        <w:rPr>
          <w:rFonts w:ascii="Calibri" w:cs="Calibri" w:eastAsia="Calibri" w:hAnsi="Calibri"/>
          <w:color w:val="14181D"/>
          <w:sz w:val="21"/>
          <w:szCs w:val="21"/>
        </w:rPr>
        <w:t xml:space="preserve">Take photographs on your phone. Do not delete them; they are the evidence.</w:t>
      </w:r>
    </w:p>
    <w:p>
      <w:pPr>
        <w:pStyle w:val="ListParagraph"/>
        <w:numPr>
          <w:ilvl w:val="0"/>
          <w:numId w:val="3"/>
        </w:numPr>
        <w:spacing w:after="60" w:line="264"/>
      </w:pPr>
      <w:r>
        <w:rPr>
          <w:rFonts w:ascii="Calibri" w:cs="Calibri" w:eastAsia="Calibri" w:hAnsi="Calibri"/>
          <w:b/>
          <w:bCs/>
          <w:color w:val="14181D"/>
          <w:sz w:val="21"/>
          <w:szCs w:val="21"/>
        </w:rPr>
        <w:t xml:space="preserve">Get a parking sign into the wide shot</w:t>
      </w:r>
      <w:r>
        <w:rPr>
          <w:rFonts w:ascii="Calibri" w:cs="Calibri" w:eastAsia="Calibri" w:hAnsi="Calibri"/>
          <w:color w:val="14181D"/>
          <w:sz w:val="21"/>
          <w:szCs w:val="21"/>
        </w:rPr>
        <w:t xml:space="preserve"> if you can stand somewhere that includes one. It dates the sign as standing at the moment you photographed the vehicle, which is precisely what a towed owner disputes — and on paper there is nothing else recording that the sign was up that day.</w:t>
      </w:r>
    </w:p>
    <w:p>
      <w:pPr>
        <w:pStyle w:val="ListParagraph"/>
        <w:numPr>
          <w:ilvl w:val="0"/>
          <w:numId w:val="3"/>
        </w:numPr>
        <w:spacing w:after="60" w:line="264"/>
      </w:pPr>
      <w:r>
        <w:rPr>
          <w:rFonts w:ascii="Calibri" w:cs="Calibri" w:eastAsia="Calibri" w:hAnsi="Calibri"/>
          <w:color w:val="14181D"/>
          <w:sz w:val="21"/>
          <w:szCs w:val="21"/>
        </w:rPr>
        <w:t xml:space="preserve">Return after the interval and record the second observation on the same form.</w:t>
      </w:r>
    </w:p>
    <w:p>
      <w:pPr>
        <w:pStyle w:val="ListParagraph"/>
        <w:numPr>
          <w:ilvl w:val="0"/>
          <w:numId w:val="3"/>
        </w:numPr>
        <w:spacing w:after="60" w:line="264"/>
      </w:pPr>
      <w:r>
        <w:rPr>
          <w:rFonts w:ascii="Calibri" w:cs="Calibri" w:eastAsia="Calibri" w:hAnsi="Calibri"/>
          <w:color w:val="14181D"/>
          <w:sz w:val="21"/>
          <w:szCs w:val="21"/>
        </w:rPr>
        <w:t xml:space="preserve">Write only what you saw. Do not write that the vehicle “remained”, “stayed” or “was parked continuously” — two observations establish presence at two times and nothing more. Writing more than that weakens the record rather than strengthening it.</w:t>
      </w:r>
    </w:p>
    <w:p>
      <w:pPr>
        <w:pStyle w:val="ListParagraph"/>
        <w:numPr>
          <w:ilvl w:val="0"/>
          <w:numId w:val="3"/>
        </w:numPr>
        <w:spacing w:after="60" w:line="264"/>
      </w:pPr>
      <w:r>
        <w:rPr>
          <w:rFonts w:ascii="Calibri" w:cs="Calibri" w:eastAsia="Calibri" w:hAnsi="Calibri"/>
          <w:color w:val="14181D"/>
          <w:sz w:val="21"/>
          <w:szCs w:val="21"/>
        </w:rPr>
        <w:t xml:space="preserve">Sign, date, and give the form to the Committee.</w:t>
      </w:r>
    </w:p>
    <w:p>
      <w:pPr>
        <w:spacing w:after="12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b/>
                <w:bCs/>
                <w:color w:val="9C2020"/>
                <w:sz w:val="21"/>
                <w:szCs w:val="21"/>
              </w:rPr>
              <w:t xml:space="preserve">Do not</w:t>
            </w:r>
            <w:r>
              <w:rPr>
                <w:rFonts w:ascii="Calibri" w:cs="Calibri" w:eastAsia="Calibri" w:hAnsi="Calibri"/>
                <w:color w:val="9C2020"/>
                <w:sz w:val="21"/>
                <w:szCs w:val="21"/>
              </w:rPr>
              <w:t xml:space="preserve"> approach the driver, telephone the towing contractor, or leave a Form H notice of contravention. None of those are the onsite manager’s to do.</w:t>
            </w:r>
          </w:p>
          <w:p>
            <w:pPr>
              <w:spacing w:after="0" w:line="264"/>
            </w:pPr>
            <w:r>
              <w:rPr>
                <w:rFonts w:ascii="Calibri" w:cs="Calibri" w:eastAsia="Calibri" w:hAnsi="Calibri"/>
                <w:color w:val="9C2020"/>
                <w:sz w:val="21"/>
                <w:szCs w:val="21"/>
              </w:rPr>
              <w:t xml:space="preserve">A </w:t>
            </w:r>
            <w:r>
              <w:rPr>
                <w:rFonts w:ascii="Calibri" w:cs="Calibri" w:eastAsia="Calibri" w:hAnsi="Calibri"/>
                <w:b/>
                <w:bCs/>
                <w:color w:val="9C2020"/>
                <w:sz w:val="21"/>
                <w:szCs w:val="21"/>
              </w:rPr>
              <w:t xml:space="preserve">Form G parking notice</w:t>
            </w:r>
            <w:r>
              <w:rPr>
                <w:rFonts w:ascii="Calibri" w:cs="Calibri" w:eastAsia="Calibri" w:hAnsi="Calibri"/>
                <w:color w:val="9C2020"/>
                <w:sz w:val="21"/>
                <w:szCs w:val="21"/>
              </w:rPr>
              <w:t xml:space="preserve"> is the exception, and it is deliberately not much of one: it accuses nobody, sets no deadline and decides nothing, so leaving one is telling somebody a fact rather than making a finding about them. Anything that states a rule has been broken is the Committee’s, and Form H carries the reference of the decision that says so.</w:t>
            </w:r>
          </w:p>
        </w:tc>
      </w:tr>
    </w:tbl>
    <w:p>
      <w:pPr>
        <w:pBdr>
          <w:top w:val="single" w:color="C9C6BE" w:sz="4" w:space="10"/>
        </w:pBdr>
        <w:spacing w:after="120" w:before="320"/>
      </w:pPr>
      <w:r>
        <w:rPr>
          <w:rFonts w:ascii="Cambria" w:cs="Cambria" w:eastAsia="Cambria" w:hAnsi="Cambria"/>
          <w:b/>
          <w:bCs/>
          <w:color w:val="14181D"/>
          <w:sz w:val="28"/>
          <w:szCs w:val="28"/>
        </w:rPr>
        <w:t xml:space="preserve">Procedure 2 — A visitor arriving</w:t>
      </w:r>
    </w:p>
    <w:p>
      <w:pPr>
        <w:spacing w:after="120" w:line="264"/>
      </w:pPr>
      <w:r>
        <w:rPr>
          <w:rFonts w:ascii="Calibri" w:cs="Calibri" w:eastAsia="Calibri" w:hAnsi="Calibri"/>
          <w:color w:val="4A5460"/>
          <w:sz w:val="19"/>
          <w:szCs w:val="19"/>
        </w:rPr>
        <w:t xml:space="preserve">Use Form B, or Form C for a stay longer than 24 hours.</w:t>
      </w:r>
    </w:p>
    <w:p>
      <w:pPr>
        <w:spacing w:after="120" w:line="264"/>
      </w:pPr>
      <w:r>
        <w:rPr>
          <w:rFonts w:ascii="Calibri" w:cs="Calibri" w:eastAsia="Calibri" w:hAnsi="Calibri"/>
          <w:color w:val="14181D"/>
          <w:sz w:val="21"/>
          <w:szCs w:val="21"/>
        </w:rPr>
        <w:t xml:space="preserve">The by-law grants a visitor 24 hours. Nobody approves that, so there is nothing to decide and nothing to wait for. Record it and carry on.</w:t>
      </w:r>
    </w:p>
    <w:p>
      <w:pPr>
        <w:pStyle w:val="ListParagraph"/>
        <w:numPr>
          <w:ilvl w:val="0"/>
          <w:numId w:val="4"/>
        </w:numPr>
        <w:spacing w:after="60" w:line="264"/>
      </w:pPr>
      <w:r>
        <w:rPr>
          <w:rFonts w:ascii="Calibri" w:cs="Calibri" w:eastAsia="Calibri" w:hAnsi="Calibri"/>
          <w:color w:val="14181D"/>
          <w:sz w:val="21"/>
          <w:szCs w:val="21"/>
        </w:rPr>
        <w:t xml:space="preserve">The resident completes Form B, or the manager completes it for them by telephone.</w:t>
      </w:r>
    </w:p>
    <w:p>
      <w:pPr>
        <w:pStyle w:val="ListParagraph"/>
        <w:numPr>
          <w:ilvl w:val="0"/>
          <w:numId w:val="4"/>
        </w:numPr>
        <w:spacing w:after="60" w:line="264"/>
      </w:pPr>
      <w:r>
        <w:rPr>
          <w:rFonts w:ascii="Calibri" w:cs="Calibri" w:eastAsia="Calibri" w:hAnsi="Calibri"/>
          <w:color w:val="14181D"/>
          <w:sz w:val="21"/>
          <w:szCs w:val="21"/>
        </w:rPr>
        <w:t xml:space="preserve">Check the registration against the printed resident vehicle register.</w:t>
      </w:r>
    </w:p>
    <w:p>
      <w:pPr>
        <w:pStyle w:val="ListParagraph"/>
        <w:numPr>
          <w:ilvl w:val="0"/>
          <w:numId w:val="1"/>
        </w:numPr>
        <w:spacing w:after="60" w:line="264"/>
      </w:pPr>
      <w:r>
        <w:rPr>
          <w:rFonts w:ascii="Calibri" w:cs="Calibri" w:eastAsia="Calibri" w:hAnsi="Calibri"/>
          <w:b/>
          <w:bCs/>
          <w:color w:val="14181D"/>
          <w:sz w:val="21"/>
          <w:szCs w:val="21"/>
        </w:rPr>
        <w:t xml:space="preserve">On the register</w:t>
      </w:r>
      <w:r>
        <w:rPr>
          <w:rFonts w:ascii="Calibri" w:cs="Calibri" w:eastAsia="Calibri" w:hAnsi="Calibri"/>
          <w:color w:val="14181D"/>
          <w:sz w:val="21"/>
          <w:szCs w:val="21"/>
        </w:rPr>
        <w:t xml:space="preserve"> — tick the conflict box. A resident’s own car in a visitor bay is in breach from the moment it is parked there; the 24 hours are not a grace period for residents. Give the form to the Committee the same day.</w:t>
      </w:r>
    </w:p>
    <w:p>
      <w:pPr>
        <w:pStyle w:val="ListParagraph"/>
        <w:numPr>
          <w:ilvl w:val="0"/>
          <w:numId w:val="1"/>
        </w:numPr>
        <w:spacing w:after="60" w:line="264"/>
      </w:pPr>
      <w:r>
        <w:rPr>
          <w:rFonts w:ascii="Calibri" w:cs="Calibri" w:eastAsia="Calibri" w:hAnsi="Calibri"/>
          <w:b/>
          <w:bCs/>
          <w:color w:val="14181D"/>
          <w:sz w:val="21"/>
          <w:szCs w:val="21"/>
        </w:rPr>
        <w:t xml:space="preserve">Not on the register</w:t>
      </w:r>
      <w:r>
        <w:rPr>
          <w:rFonts w:ascii="Calibri" w:cs="Calibri" w:eastAsia="Calibri" w:hAnsi="Calibri"/>
          <w:color w:val="14181D"/>
          <w:sz w:val="21"/>
          <w:szCs w:val="21"/>
        </w:rPr>
        <w:t xml:space="preserve"> — file it. Nothing further is required.</w:t>
      </w:r>
    </w:p>
    <w:p>
      <w:pPr>
        <w:pStyle w:val="ListParagraph"/>
        <w:numPr>
          <w:ilvl w:val="0"/>
          <w:numId w:val="4"/>
        </w:numPr>
        <w:spacing w:after="60" w:line="264"/>
      </w:pPr>
      <w:r>
        <w:rPr>
          <w:rFonts w:ascii="Calibri" w:cs="Calibri" w:eastAsia="Calibri" w:hAnsi="Calibri"/>
          <w:color w:val="14181D"/>
          <w:sz w:val="21"/>
          <w:szCs w:val="21"/>
        </w:rPr>
        <w:t xml:space="preserve">A stay </w:t>
      </w:r>
      <w:r>
        <w:rPr>
          <w:rFonts w:ascii="Calibri" w:cs="Calibri" w:eastAsia="Calibri" w:hAnsi="Calibri"/>
          <w:b/>
          <w:bCs/>
          <w:color w:val="14181D"/>
          <w:sz w:val="21"/>
          <w:szCs w:val="21"/>
        </w:rPr>
        <w:t xml:space="preserve">longer than 24 hours</w:t>
      </w:r>
      <w:r>
        <w:rPr>
          <w:rFonts w:ascii="Calibri" w:cs="Calibri" w:eastAsia="Calibri" w:hAnsi="Calibri"/>
          <w:color w:val="14181D"/>
          <w:sz w:val="21"/>
          <w:szCs w:val="21"/>
        </w:rPr>
        <w:t xml:space="preserve"> needs express written Committee approval. Use Form C. Submitting Form C is not approval, and no answer is a refusal — not a queue.</w:t>
      </w:r>
    </w:p>
    <w:p>
      <w:pPr>
        <w:pBdr>
          <w:top w:val="single" w:color="C9C6BE" w:sz="4" w:space="10"/>
        </w:pBdr>
        <w:spacing w:after="120" w:before="320"/>
      </w:pPr>
      <w:r>
        <w:rPr>
          <w:rFonts w:ascii="Cambria" w:cs="Cambria" w:eastAsia="Cambria" w:hAnsi="Cambria"/>
          <w:b/>
          <w:bCs/>
          <w:color w:val="14181D"/>
          <w:sz w:val="28"/>
          <w:szCs w:val="28"/>
        </w:rPr>
        <w:t xml:space="preserve">Procedure 3 — A Committee decision</w:t>
      </w:r>
    </w:p>
    <w:p>
      <w:pPr>
        <w:spacing w:after="120" w:line="264"/>
      </w:pPr>
      <w:r>
        <w:rPr>
          <w:rFonts w:ascii="Calibri" w:cs="Calibri" w:eastAsia="Calibri" w:hAnsi="Calibri"/>
          <w:color w:val="4A5460"/>
          <w:sz w:val="19"/>
          <w:szCs w:val="19"/>
        </w:rPr>
        <w:t xml:space="preserve">Use Form D. Every decision needs one — a classification, a warning, an extended visitor approval, a tow.</w:t>
      </w:r>
    </w:p>
    <w:p>
      <w:pPr>
        <w:pStyle w:val="ListParagraph"/>
        <w:numPr>
          <w:ilvl w:val="0"/>
          <w:numId w:val="5"/>
        </w:numPr>
        <w:spacing w:after="60" w:line="264"/>
      </w:pPr>
      <w:r>
        <w:rPr>
          <w:rFonts w:ascii="Calibri" w:cs="Calibri" w:eastAsia="Calibri" w:hAnsi="Calibri"/>
          <w:color w:val="14181D"/>
          <w:sz w:val="21"/>
          <w:szCs w:val="21"/>
        </w:rPr>
        <w:t xml:space="preserve">Record the date, the mechanism (meeting motion, vote outside a meeting, or delegated authority) and the motion reference if there is one.</w:t>
      </w:r>
    </w:p>
    <w:p>
      <w:pPr>
        <w:pStyle w:val="ListParagraph"/>
        <w:numPr>
          <w:ilvl w:val="0"/>
          <w:numId w:val="5"/>
        </w:numPr>
        <w:spacing w:after="60" w:line="264"/>
      </w:pPr>
      <w:r>
        <w:rPr>
          <w:rFonts w:ascii="Calibri" w:cs="Calibri" w:eastAsia="Calibri" w:hAnsi="Calibri"/>
          <w:color w:val="14181D"/>
          <w:sz w:val="21"/>
          <w:szCs w:val="21"/>
        </w:rPr>
        <w:t xml:space="preserve">List every eligible committee member and how each voted: in favour, against, abstained, excluded for conflict, or did not participate. “Did not participate” is a fact about the decision, not a gap in it.</w:t>
      </w:r>
    </w:p>
    <w:p>
      <w:pPr>
        <w:pStyle w:val="ListParagraph"/>
        <w:numPr>
          <w:ilvl w:val="0"/>
          <w:numId w:val="5"/>
        </w:numPr>
        <w:spacing w:after="60" w:line="264"/>
      </w:pPr>
      <w:r>
        <w:rPr>
          <w:rFonts w:ascii="Calibri" w:cs="Calibri" w:eastAsia="Calibri" w:hAnsi="Calibri"/>
          <w:b/>
          <w:bCs/>
          <w:color w:val="14181D"/>
          <w:sz w:val="21"/>
          <w:szCs w:val="21"/>
        </w:rPr>
        <w:t xml:space="preserve">Write the reasons.</w:t>
      </w:r>
      <w:r>
        <w:rPr>
          <w:rFonts w:ascii="Calibri" w:cs="Calibri" w:eastAsia="Calibri" w:hAnsi="Calibri"/>
          <w:color w:val="14181D"/>
          <w:sz w:val="21"/>
          <w:szCs w:val="21"/>
        </w:rPr>
        <w:t xml:space="preserve"> A decision without written reasons is not one this scheme records. One sentence is not enough — say what was decided and why.</w:t>
      </w:r>
    </w:p>
    <w:p>
      <w:pPr>
        <w:pStyle w:val="ListParagraph"/>
        <w:numPr>
          <w:ilvl w:val="0"/>
          <w:numId w:val="5"/>
        </w:numPr>
        <w:spacing w:after="60" w:line="264"/>
      </w:pPr>
      <w:r>
        <w:rPr>
          <w:rFonts w:ascii="Calibri" w:cs="Calibri" w:eastAsia="Calibri" w:hAnsi="Calibri"/>
          <w:color w:val="14181D"/>
          <w:sz w:val="21"/>
          <w:szCs w:val="21"/>
        </w:rPr>
        <w:t xml:space="preserve">Anyone with an interest in the outcome declares it, it is written on the form, and they are excluded from the count.</w:t>
      </w:r>
    </w:p>
    <w:p>
      <w:pPr>
        <w:pStyle w:val="ListParagraph"/>
        <w:numPr>
          <w:ilvl w:val="0"/>
          <w:numId w:val="5"/>
        </w:numPr>
        <w:spacing w:after="60" w:line="264"/>
      </w:pPr>
      <w:r>
        <w:rPr>
          <w:rFonts w:ascii="Calibri" w:cs="Calibri" w:eastAsia="Calibri" w:hAnsi="Calibri"/>
          <w:color w:val="14181D"/>
          <w:sz w:val="21"/>
          <w:szCs w:val="21"/>
        </w:rPr>
        <w:t xml:space="preserve">Check the majority: a simple majority of those eligible </w:t>
      </w:r>
      <w:r>
        <w:rPr>
          <w:rFonts w:ascii="Calibri" w:cs="Calibri" w:eastAsia="Calibri" w:hAnsi="Calibri"/>
          <w:i/>
          <w:iCs/>
          <w:color w:val="14181D"/>
          <w:sz w:val="21"/>
          <w:szCs w:val="21"/>
        </w:rPr>
        <w:t xml:space="preserve">after</w:t>
      </w:r>
      <w:r>
        <w:rPr>
          <w:rFonts w:ascii="Calibri" w:cs="Calibri" w:eastAsia="Calibri" w:hAnsi="Calibri"/>
          <w:color w:val="14181D"/>
          <w:sz w:val="21"/>
          <w:szCs w:val="21"/>
        </w:rPr>
        <w:t xml:space="preserve"> exclusions. If it does not carry, the decision did not carry — record it as failed, and what follows is nothing.</w:t>
      </w:r>
    </w:p>
    <w:p>
      <w:pPr>
        <w:pBdr>
          <w:top w:val="single" w:color="C9C6BE" w:sz="4" w:space="10"/>
        </w:pBdr>
        <w:spacing w:after="120" w:before="320"/>
      </w:pPr>
      <w:r>
        <w:rPr>
          <w:rFonts w:ascii="Cambria" w:cs="Cambria" w:eastAsia="Cambria" w:hAnsi="Cambria"/>
          <w:b/>
          <w:bCs/>
          <w:color w:val="14181D"/>
          <w:sz w:val="28"/>
          <w:szCs w:val="28"/>
        </w:rPr>
        <w:t xml:space="preserve">Procedure 4 — Authorising a tow on paper</w:t>
      </w:r>
    </w:p>
    <w:p>
      <w:pPr>
        <w:spacing w:after="120" w:line="264"/>
      </w:pPr>
      <w:r>
        <w:rPr>
          <w:rFonts w:ascii="Calibri" w:cs="Calibri" w:eastAsia="Calibri" w:hAnsi="Calibri"/>
          <w:color w:val="4A5460"/>
          <w:sz w:val="19"/>
          <w:szCs w:val="19"/>
        </w:rPr>
        <w:t xml:space="preserve">Use Form D </w:t>
      </w:r>
      <w:r>
        <w:rPr>
          <w:rFonts w:ascii="Calibri" w:cs="Calibri" w:eastAsia="Calibri" w:hAnsi="Calibri"/>
          <w:b/>
          <w:bCs/>
          <w:color w:val="4A5460"/>
          <w:sz w:val="19"/>
          <w:szCs w:val="19"/>
        </w:rPr>
        <w:t xml:space="preserve">and</w:t>
      </w:r>
      <w:r>
        <w:rPr>
          <w:rFonts w:ascii="Calibri" w:cs="Calibri" w:eastAsia="Calibri" w:hAnsi="Calibri"/>
          <w:color w:val="4A5460"/>
          <w:sz w:val="19"/>
          <w:szCs w:val="19"/>
        </w:rPr>
        <w:t xml:space="preserve"> Form E. This is the one to be most careful with.</w:t>
      </w: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0" w:line="264"/>
            </w:pPr>
            <w:r>
              <w:rPr>
                <w:rFonts w:ascii="Calibri" w:cs="Calibri" w:eastAsia="Calibri" w:hAnsi="Calibri"/>
                <w:color w:val="9C2020"/>
                <w:sz w:val="21"/>
                <w:szCs w:val="21"/>
              </w:rPr>
              <w:t xml:space="preserve">A tow carried out without proper authorisation exposes the Body Corporate to claims and indemnity liability. </w:t>
            </w:r>
            <w:r>
              <w:rPr>
                <w:rFonts w:ascii="Calibri" w:cs="Calibri" w:eastAsia="Calibri" w:hAnsi="Calibri"/>
                <w:b/>
                <w:bCs/>
                <w:color w:val="9C2020"/>
                <w:sz w:val="21"/>
                <w:szCs w:val="21"/>
              </w:rPr>
              <w:t xml:space="preserve">The onsite manager has neither the legal authority nor the insurance cover to instruct one.</w:t>
            </w:r>
          </w:p>
        </w:tc>
      </w:tr>
    </w:tbl>
    <w:p>
      <w:pPr>
        <w:spacing w:after="160"/>
      </w:pPr>
    </w:p>
    <w:p>
      <w:pPr>
        <w:spacing w:after="120" w:line="264"/>
      </w:pPr>
      <w:r>
        <w:rPr>
          <w:rFonts w:ascii="Calibri" w:cs="Calibri" w:eastAsia="Calibri" w:hAnsi="Calibri"/>
          <w:color w:val="14181D"/>
          <w:sz w:val="21"/>
          <w:szCs w:val="21"/>
        </w:rPr>
        <w:t xml:space="preserve">Before you start, confirm every line of Form E. If any is missing, do not proceed. Then:</w:t>
      </w:r>
    </w:p>
    <w:p>
      <w:pPr>
        <w:pStyle w:val="ListParagraph"/>
        <w:numPr>
          <w:ilvl w:val="0"/>
          <w:numId w:val="6"/>
        </w:numPr>
        <w:spacing w:after="60" w:line="264"/>
      </w:pPr>
      <w:r>
        <w:rPr>
          <w:rFonts w:ascii="Calibri" w:cs="Calibri" w:eastAsia="Calibri" w:hAnsi="Calibri"/>
          <w:color w:val="14181D"/>
          <w:sz w:val="21"/>
          <w:szCs w:val="21"/>
        </w:rPr>
        <w:t xml:space="preserve">Complete Form D and Form E. Both. At least two committee members must be recorded as voting in favour — one person does not authorise a tow, however senior.</w:t>
      </w:r>
    </w:p>
    <w:p>
      <w:pPr>
        <w:pStyle w:val="ListParagraph"/>
        <w:numPr>
          <w:ilvl w:val="0"/>
          <w:numId w:val="6"/>
        </w:numPr>
        <w:spacing w:after="60" w:line="264"/>
      </w:pPr>
      <w:r>
        <w:rPr>
          <w:rFonts w:ascii="Calibri" w:cs="Calibri" w:eastAsia="Calibri" w:hAnsi="Calibri"/>
          <w:color w:val="14181D"/>
          <w:sz w:val="21"/>
          <w:szCs w:val="21"/>
        </w:rPr>
        <w:t xml:space="preserve">Write the by-law relied upon. A tow that cannot name the rule it enforces has nothing behind it.</w:t>
      </w:r>
    </w:p>
    <w:p>
      <w:pPr>
        <w:pStyle w:val="ListParagraph"/>
        <w:numPr>
          <w:ilvl w:val="0"/>
          <w:numId w:val="6"/>
        </w:numPr>
        <w:spacing w:after="60" w:line="264"/>
      </w:pPr>
      <w:r>
        <w:rPr>
          <w:rFonts w:ascii="Calibri" w:cs="Calibri" w:eastAsia="Calibri" w:hAnsi="Calibri"/>
          <w:color w:val="14181D"/>
          <w:sz w:val="21"/>
          <w:szCs w:val="21"/>
        </w:rPr>
        <w:t xml:space="preserve">Write why towing is a reasonable response </w:t>
      </w:r>
      <w:r>
        <w:rPr>
          <w:rFonts w:ascii="Calibri" w:cs="Calibri" w:eastAsia="Calibri" w:hAnsi="Calibri"/>
          <w:i/>
          <w:iCs/>
          <w:color w:val="14181D"/>
          <w:sz w:val="21"/>
          <w:szCs w:val="21"/>
        </w:rPr>
        <w:t xml:space="preserve">in this case</w:t>
      </w:r>
      <w:r>
        <w:rPr>
          <w:rFonts w:ascii="Calibri" w:cs="Calibri" w:eastAsia="Calibri" w:hAnsi="Calibri"/>
          <w:color w:val="14181D"/>
          <w:sz w:val="21"/>
          <w:szCs w:val="21"/>
        </w:rPr>
        <w:t xml:space="preserve">, and what less intrusive options were considered and rejected. These are the two questions a court asks first. Do not copy wording from a previous form.</w:t>
      </w:r>
    </w:p>
    <w:p>
      <w:pPr>
        <w:pStyle w:val="ListParagraph"/>
        <w:numPr>
          <w:ilvl w:val="0"/>
          <w:numId w:val="6"/>
        </w:numPr>
        <w:spacing w:after="60" w:line="264"/>
      </w:pPr>
      <w:r>
        <w:rPr>
          <w:rFonts w:ascii="Calibri" w:cs="Calibri" w:eastAsia="Calibri" w:hAnsi="Calibri"/>
          <w:b/>
          <w:bCs/>
          <w:color w:val="14181D"/>
          <w:sz w:val="21"/>
          <w:szCs w:val="21"/>
        </w:rPr>
        <w:t xml:space="preserve">Wait 30 minutes.</w:t>
      </w:r>
      <w:r>
        <w:rPr>
          <w:rFonts w:ascii="Calibri" w:cs="Calibri" w:eastAsia="Calibri" w:hAnsi="Calibri"/>
          <w:color w:val="14181D"/>
          <w:sz w:val="21"/>
          <w:szCs w:val="21"/>
        </w:rPr>
        <w:t xml:space="preserve"> The cooling-off period applies on paper exactly as on screen. Note the time the authority was signed and the earliest time it may be transmitted.</w:t>
      </w:r>
    </w:p>
    <w:p>
      <w:pPr>
        <w:pStyle w:val="ListParagraph"/>
        <w:numPr>
          <w:ilvl w:val="0"/>
          <w:numId w:val="6"/>
        </w:numPr>
        <w:spacing w:after="60" w:line="264"/>
      </w:pPr>
      <w:r>
        <w:rPr>
          <w:rFonts w:ascii="Calibri" w:cs="Calibri" w:eastAsia="Calibri" w:hAnsi="Calibri"/>
          <w:color w:val="14181D"/>
          <w:sz w:val="21"/>
          <w:szCs w:val="21"/>
        </w:rPr>
        <w:t xml:space="preserve">Telephone </w:t>
      </w:r>
      <w:r>
        <w:rPr>
          <w:rFonts w:ascii="Calibri" w:cs="Calibri" w:eastAsia="Calibri" w:hAnsi="Calibri"/>
          <w:b/>
          <w:bCs/>
          <w:color w:val="14181D"/>
          <w:sz w:val="21"/>
          <w:szCs w:val="21"/>
        </w:rPr>
        <w:t xml:space="preserve">only the primary contractor</w:t>
      </w:r>
      <w:r>
        <w:rPr>
          <w:rFonts w:ascii="Calibri" w:cs="Calibri" w:eastAsia="Calibri" w:hAnsi="Calibri"/>
          <w:color w:val="14181D"/>
          <w:sz w:val="21"/>
          <w:szCs w:val="21"/>
        </w:rPr>
        <w:t xml:space="preserve"> named in the agreement. Instructing one of the Schedule A subcontractors directly is a material breach of it.</w:t>
      </w:r>
    </w:p>
    <w:p>
      <w:pPr>
        <w:pStyle w:val="ListParagraph"/>
        <w:numPr>
          <w:ilvl w:val="0"/>
          <w:numId w:val="6"/>
        </w:numPr>
        <w:spacing w:after="60" w:line="264"/>
      </w:pPr>
      <w:r>
        <w:rPr>
          <w:rFonts w:ascii="Calibri" w:cs="Calibri" w:eastAsia="Calibri" w:hAnsi="Calibri"/>
          <w:color w:val="14181D"/>
          <w:sz w:val="21"/>
          <w:szCs w:val="21"/>
        </w:rPr>
        <w:t xml:space="preserve">The person who telephones records the time, who they spoke to, and their basis as an authorised contact. They are conveying a decision the Committee has already made — they are not making one.</w:t>
      </w:r>
    </w:p>
    <w:p>
      <w:pPr>
        <w:pStyle w:val="ListParagraph"/>
        <w:numPr>
          <w:ilvl w:val="0"/>
          <w:numId w:val="6"/>
        </w:numPr>
        <w:spacing w:after="60" w:line="264"/>
      </w:pPr>
      <w:r>
        <w:rPr>
          <w:rFonts w:ascii="Calibri" w:cs="Calibri" w:eastAsia="Calibri" w:hAnsi="Calibri"/>
          <w:b/>
          <w:bCs/>
          <w:color w:val="14181D"/>
          <w:sz w:val="21"/>
          <w:szCs w:val="21"/>
        </w:rPr>
        <w:t xml:space="preserve">The authority expires 48 hours after signing.</w:t>
      </w:r>
      <w:r>
        <w:rPr>
          <w:rFonts w:ascii="Calibri" w:cs="Calibri" w:eastAsia="Calibri" w:hAnsi="Calibri"/>
          <w:color w:val="14181D"/>
          <w:sz w:val="21"/>
          <w:szCs w:val="21"/>
        </w:rPr>
        <w:t xml:space="preserve"> After that it is dead, and a fresh decision is needed.</w:t>
      </w:r>
    </w:p>
    <w:p>
      <w:pPr>
        <w:spacing w:after="120"/>
      </w:pPr>
    </w:p>
    <w:tbl>
      <w:tblPr>
        <w:tblW w:type="pct" w:w="100%"/>
        <w:tblBorders>
          <w:top w:val="none" w:color="FFFFFF" w:sz="0"/>
          <w:left w:val="single" w:color="9A7A20" w:sz="18"/>
          <w:bottom w:val="none" w:color="FFFFFF" w:sz="0"/>
          <w:right w:val="none" w:color="FFFFFF" w:sz="0"/>
          <w:insideH w:val="single" w:color="auto" w:sz="4"/>
          <w:insideV w:val="single" w:color="auto" w:sz="4"/>
        </w:tblBorders>
      </w:tblPr>
      <w:tblGrid>
        <w:gridCol w:w="100"/>
      </w:tblGrid>
      <w:tr>
        <w:tc>
          <w:tcPr>
            <w:shd w:fill="FDF6E3" w:val="clear"/>
            <w:tcMar>
              <w:top w:type="dxa" w:w="160"/>
              <w:left w:type="dxa" w:w="200"/>
              <w:bottom w:type="dxa" w:w="160"/>
              <w:right w:type="dxa" w:w="200"/>
            </w:tcMar>
          </w:tcPr>
          <w:p>
            <w:pPr>
              <w:spacing w:after="0" w:line="264"/>
            </w:pPr>
            <w:r>
              <w:rPr>
                <w:rFonts w:ascii="Calibri" w:cs="Calibri" w:eastAsia="Calibri" w:hAnsi="Calibri"/>
                <w:b/>
                <w:bCs/>
                <w:color w:val="14181D"/>
                <w:sz w:val="21"/>
                <w:szCs w:val="21"/>
              </w:rPr>
              <w:t xml:space="preserve">Cancelling.</w:t>
            </w:r>
            <w:r>
              <w:rPr>
                <w:rFonts w:ascii="Calibri" w:cs="Calibri" w:eastAsia="Calibri" w:hAnsi="Calibri"/>
                <w:color w:val="14181D"/>
                <w:sz w:val="21"/>
                <w:szCs w:val="21"/>
              </w:rPr>
              <w:t xml:space="preserve"> Any committee member may stop a tow at any time before the truck arrives. Telephone the contractor immediately, then complete Form D recording the cancellation. If the motion to cancel does not carry, the cancellation still stands: the safe direction of a failed motion to cancel is not to tow.</w:t>
            </w:r>
          </w:p>
        </w:tc>
      </w:tr>
    </w:tbl>
    <w:p>
      <w:pPr>
        <w:pBdr>
          <w:top w:val="single" w:color="C9C6BE" w:sz="4" w:space="10"/>
        </w:pBdr>
        <w:spacing w:after="120" w:before="320"/>
      </w:pPr>
      <w:r>
        <w:rPr>
          <w:rFonts w:ascii="Cambria" w:cs="Cambria" w:eastAsia="Cambria" w:hAnsi="Cambria"/>
          <w:b/>
          <w:bCs/>
          <w:color w:val="14181D"/>
          <w:sz w:val="28"/>
          <w:szCs w:val="28"/>
        </w:rPr>
        <w:t xml:space="preserve">Procedure 5 — The vehicle leaves after you have called</w:t>
      </w:r>
    </w:p>
    <w:p>
      <w:pPr>
        <w:spacing w:after="120" w:line="264"/>
      </w:pPr>
      <w:r>
        <w:rPr>
          <w:rFonts w:ascii="Calibri" w:cs="Calibri" w:eastAsia="Calibri" w:hAnsi="Calibri"/>
          <w:color w:val="4A5460"/>
          <w:sz w:val="19"/>
          <w:szCs w:val="19"/>
        </w:rPr>
        <w:t xml:space="preserve">Use Form F. The likeliest thing to happen between the call and the truck arriving.</w:t>
      </w:r>
    </w:p>
    <w:p>
      <w:pPr>
        <w:spacing w:after="120" w:line="264"/>
      </w:pPr>
      <w:r>
        <w:rPr>
          <w:rFonts w:ascii="Calibri" w:cs="Calibri" w:eastAsia="Calibri" w:hAnsi="Calibri"/>
          <w:color w:val="14181D"/>
          <w:sz w:val="21"/>
          <w:szCs w:val="21"/>
        </w:rPr>
        <w:t xml:space="preserve">A truck has been called and the bay is now empty. This has to be dealt with in minutes, and on paper there is no screen to notice it for you.</w:t>
      </w:r>
    </w:p>
    <w:p>
      <w:pPr>
        <w:pStyle w:val="ListParagraph"/>
        <w:numPr>
          <w:ilvl w:val="0"/>
          <w:numId w:val="7"/>
        </w:numPr>
        <w:spacing w:after="60" w:line="264"/>
      </w:pPr>
      <w:r>
        <w:rPr>
          <w:rFonts w:ascii="Calibri" w:cs="Calibri" w:eastAsia="Calibri" w:hAnsi="Calibri"/>
          <w:b/>
          <w:bCs/>
          <w:color w:val="14181D"/>
          <w:sz w:val="21"/>
          <w:szCs w:val="21"/>
        </w:rPr>
        <w:t xml:space="preserve">Telephone the contractor first.</w:t>
      </w:r>
      <w:r>
        <w:rPr>
          <w:rFonts w:ascii="Calibri" w:cs="Calibri" w:eastAsia="Calibri" w:hAnsi="Calibri"/>
          <w:color w:val="14181D"/>
          <w:sz w:val="21"/>
          <w:szCs w:val="21"/>
        </w:rPr>
        <w:t xml:space="preserve"> Before the form, before finding a committee member, before anything. The form records what you did; the call is what stops the truck.</w:t>
      </w:r>
    </w:p>
    <w:p>
      <w:pPr>
        <w:pStyle w:val="ListParagraph"/>
        <w:numPr>
          <w:ilvl w:val="0"/>
          <w:numId w:val="7"/>
        </w:numPr>
        <w:spacing w:after="60" w:line="264"/>
      </w:pPr>
      <w:r>
        <w:rPr>
          <w:rFonts w:ascii="Calibri" w:cs="Calibri" w:eastAsia="Calibri" w:hAnsi="Calibri"/>
          <w:color w:val="14181D"/>
          <w:sz w:val="21"/>
          <w:szCs w:val="21"/>
        </w:rPr>
        <w:t xml:space="preserve">Anyone may do this — the onsite manager, any committee member, anybody who can see the empty bay. Stopping a tow needs less authority than starting one, and this is the single exception to everything else in this document about the manager not touching towing. Stopping protects the vehicle owner; it does not act against them.</w:t>
      </w:r>
    </w:p>
    <w:p>
      <w:pPr>
        <w:pStyle w:val="ListParagraph"/>
        <w:numPr>
          <w:ilvl w:val="0"/>
          <w:numId w:val="7"/>
        </w:numPr>
        <w:spacing w:after="60" w:line="264"/>
      </w:pPr>
      <w:r>
        <w:rPr>
          <w:rFonts w:ascii="Calibri" w:cs="Calibri" w:eastAsia="Calibri" w:hAnsi="Calibri"/>
          <w:color w:val="14181D"/>
          <w:sz w:val="21"/>
          <w:szCs w:val="21"/>
        </w:rPr>
        <w:t xml:space="preserve">Complete Form F afterwards, including the time you telephoned and who you spoke to. A call nobody wrote down is a call the contractor may reasonably say never happened when the invoice arrives.</w:t>
      </w:r>
    </w:p>
    <w:p>
      <w:pPr>
        <w:pStyle w:val="ListParagraph"/>
        <w:numPr>
          <w:ilvl w:val="0"/>
          <w:numId w:val="7"/>
        </w:numPr>
        <w:spacing w:after="60" w:line="264"/>
      </w:pPr>
      <w:r>
        <w:rPr>
          <w:rFonts w:ascii="Calibri" w:cs="Calibri" w:eastAsia="Calibri" w:hAnsi="Calibri"/>
          <w:b/>
          <w:bCs/>
          <w:color w:val="14181D"/>
          <w:sz w:val="21"/>
          <w:szCs w:val="21"/>
        </w:rPr>
        <w:t xml:space="preserve">This does not cancel the authority.</w:t>
      </w:r>
      <w:r>
        <w:rPr>
          <w:rFonts w:ascii="Calibri" w:cs="Calibri" w:eastAsia="Calibri" w:hAnsi="Calibri"/>
          <w:color w:val="14181D"/>
          <w:sz w:val="21"/>
          <w:szCs w:val="21"/>
        </w:rPr>
        <w:t xml:space="preserve"> The vehicle leaving does not decide whether it could lawfully have been towed. A vehicle that returns has not become entitled to park there — but a fresh Form D and Form E are needed before a truck is called again.</w:t>
      </w:r>
    </w:p>
    <w:p>
      <w:pPr>
        <w:pStyle w:val="ListParagraph"/>
        <w:numPr>
          <w:ilvl w:val="0"/>
          <w:numId w:val="7"/>
        </w:numPr>
        <w:spacing w:after="60" w:line="264"/>
      </w:pPr>
      <w:r>
        <w:rPr>
          <w:rFonts w:ascii="Calibri" w:cs="Calibri" w:eastAsia="Calibri" w:hAnsi="Calibri"/>
          <w:color w:val="14181D"/>
          <w:sz w:val="21"/>
          <w:szCs w:val="21"/>
        </w:rPr>
        <w:t xml:space="preserve">If the vehicle was towed before your call reached them, tell the Committee immediately. The owner will make contact, and the file has to be ready before they do.</w:t>
      </w:r>
    </w:p>
    <w:p>
      <w:pPr>
        <w:spacing w:after="120"/>
      </w:pPr>
    </w:p>
    <w:tbl>
      <w:tblPr>
        <w:tblW w:type="pct" w:w="100%"/>
        <w:tblBorders>
          <w:top w:val="none" w:color="FFFFFF" w:sz="0"/>
          <w:left w:val="single" w:color="9A7A20" w:sz="18"/>
          <w:bottom w:val="none" w:color="FFFFFF" w:sz="0"/>
          <w:right w:val="none" w:color="FFFFFF" w:sz="0"/>
          <w:insideH w:val="single" w:color="auto" w:sz="4"/>
          <w:insideV w:val="single" w:color="auto" w:sz="4"/>
        </w:tblBorders>
      </w:tblPr>
      <w:tblGrid>
        <w:gridCol w:w="100"/>
      </w:tblGrid>
      <w:tr>
        <w:tc>
          <w:tcPr>
            <w:shd w:fill="FDF6E3" w:val="clear"/>
            <w:tcMar>
              <w:top w:type="dxa" w:w="160"/>
              <w:left w:type="dxa" w:w="200"/>
              <w:bottom w:type="dxa" w:w="160"/>
              <w:right w:type="dxa" w:w="200"/>
            </w:tcMar>
          </w:tcPr>
          <w:p>
            <w:pPr>
              <w:spacing w:after="0" w:line="264"/>
            </w:pPr>
            <w:r>
              <w:rPr>
                <w:rFonts w:ascii="Calibri" w:cs="Calibri" w:eastAsia="Calibri" w:hAnsi="Calibri"/>
                <w:b/>
                <w:bCs/>
                <w:color w:val="14181D"/>
                <w:sz w:val="21"/>
                <w:szCs w:val="21"/>
              </w:rPr>
              <w:t xml:space="preserve">The cost of stopping is a call-out fee. The cost of not stopping is a vehicle towed after the reason for towing it has gone.</w:t>
            </w:r>
            <w:r>
              <w:rPr>
                <w:rFonts w:ascii="Calibri" w:cs="Calibri" w:eastAsia="Calibri" w:hAnsi="Calibri"/>
                <w:color w:val="14181D"/>
                <w:sz w:val="21"/>
                <w:szCs w:val="21"/>
              </w:rPr>
              <w:t xml:space="preserve"> Those are not comparable, and the form exists so nobody has to weigh them at speed.</w:t>
            </w:r>
          </w:p>
        </w:tc>
      </w:tr>
    </w:tbl>
    <w:p>
      <w:pPr>
        <w:pBdr>
          <w:top w:val="single" w:color="C9C6BE" w:sz="4" w:space="10"/>
        </w:pBdr>
        <w:spacing w:after="120" w:before="320"/>
      </w:pPr>
      <w:r>
        <w:rPr>
          <w:rFonts w:ascii="Cambria" w:cs="Cambria" w:eastAsia="Cambria" w:hAnsi="Cambria"/>
          <w:b/>
          <w:bCs/>
          <w:color w:val="14181D"/>
          <w:sz w:val="28"/>
          <w:szCs w:val="28"/>
        </w:rPr>
        <w:t xml:space="preserve">Procedure 6 — Leaving a notice on a vehicle</w:t>
      </w:r>
    </w:p>
    <w:p>
      <w:pPr>
        <w:spacing w:after="120" w:line="264"/>
      </w:pPr>
      <w:r>
        <w:rPr>
          <w:rFonts w:ascii="Calibri" w:cs="Calibri" w:eastAsia="Calibri" w:hAnsi="Calibri"/>
          <w:color w:val="4A5460"/>
          <w:sz w:val="19"/>
          <w:szCs w:val="19"/>
        </w:rPr>
        <w:t xml:space="preserve">Use Form G, or Form H if the Committee has decided.</w:t>
      </w:r>
    </w:p>
    <w:p>
      <w:pPr>
        <w:spacing w:after="120" w:line="264"/>
      </w:pPr>
      <w:r>
        <w:rPr>
          <w:rFonts w:ascii="Calibri" w:cs="Calibri" w:eastAsia="Calibri" w:hAnsi="Calibri"/>
          <w:color w:val="14181D"/>
          <w:sz w:val="21"/>
          <w:szCs w:val="21"/>
        </w:rPr>
        <w:t xml:space="preserve">Two notices, and the difference between them is not the wording but the authority behind it. Take the right one out with you.</w:t>
      </w:r>
    </w:p>
    <w:p>
      <w:pPr>
        <w:pStyle w:val="ListParagraph"/>
        <w:numPr>
          <w:ilvl w:val="0"/>
          <w:numId w:val="8"/>
        </w:numPr>
        <w:spacing w:after="60" w:line="264"/>
      </w:pPr>
      <w:r>
        <w:rPr>
          <w:rFonts w:ascii="Calibri" w:cs="Calibri" w:eastAsia="Calibri" w:hAnsi="Calibri"/>
          <w:b/>
          <w:bCs/>
          <w:color w:val="14181D"/>
          <w:sz w:val="21"/>
          <w:szCs w:val="21"/>
        </w:rPr>
        <w:t xml:space="preserve">Form G — a parking notice.</w:t>
      </w:r>
      <w:r>
        <w:rPr>
          <w:rFonts w:ascii="Calibri" w:cs="Calibri" w:eastAsia="Calibri" w:hAnsi="Calibri"/>
          <w:color w:val="14181D"/>
          <w:sz w:val="21"/>
          <w:szCs w:val="21"/>
        </w:rPr>
        <w:t xml:space="preserve"> Anybody may leave one, at any point, without asking. It accuses nobody, starts no clock and decides nothing; it says only that there may be a problem while there is still time to fix it. Most matters end here.</w:t>
      </w:r>
    </w:p>
    <w:p>
      <w:pPr>
        <w:pStyle w:val="ListParagraph"/>
        <w:numPr>
          <w:ilvl w:val="0"/>
          <w:numId w:val="8"/>
        </w:numPr>
        <w:spacing w:after="60" w:line="264"/>
      </w:pPr>
      <w:r>
        <w:rPr>
          <w:rFonts w:ascii="Calibri" w:cs="Calibri" w:eastAsia="Calibri" w:hAnsi="Calibri"/>
          <w:b/>
          <w:bCs/>
          <w:color w:val="14181D"/>
          <w:sz w:val="21"/>
          <w:szCs w:val="21"/>
        </w:rPr>
        <w:t xml:space="preserve">Form H — a notice of contravention.</w:t>
      </w:r>
      <w:r>
        <w:rPr>
          <w:rFonts w:ascii="Calibri" w:cs="Calibri" w:eastAsia="Calibri" w:hAnsi="Calibri"/>
          <w:color w:val="14181D"/>
          <w:sz w:val="21"/>
          <w:szCs w:val="21"/>
        </w:rPr>
        <w:t xml:space="preserve"> Only after the Committee has decided on Form D, and only with that decision’s reference written on it. It is the notice that mentions towing, and it is the Committee’s to place — not the onsite manager’s, whose part in this ends with Form A.</w:t>
      </w:r>
    </w:p>
    <w:p>
      <w:pPr>
        <w:pStyle w:val="ListParagraph"/>
        <w:numPr>
          <w:ilvl w:val="0"/>
          <w:numId w:val="8"/>
        </w:numPr>
        <w:spacing w:after="60" w:line="264"/>
      </w:pPr>
      <w:r>
        <w:rPr>
          <w:rFonts w:ascii="Calibri" w:cs="Calibri" w:eastAsia="Calibri" w:hAnsi="Calibri"/>
          <w:b/>
          <w:bCs/>
          <w:color w:val="14181D"/>
          <w:sz w:val="21"/>
          <w:szCs w:val="21"/>
        </w:rPr>
        <w:t xml:space="preserve">Under the wiper, in a plastic sleeve. Never anything adhesive.</w:t>
      </w:r>
      <w:r>
        <w:rPr>
          <w:rFonts w:ascii="Calibri" w:cs="Calibri" w:eastAsia="Calibri" w:hAnsi="Calibri"/>
          <w:color w:val="14181D"/>
          <w:sz w:val="21"/>
          <w:szCs w:val="21"/>
        </w:rPr>
        <w:t xml:space="preserve"> Marking somebody else’s vehicle is damage, and it converts a parking matter into a claim against the scheme.</w:t>
      </w:r>
    </w:p>
    <w:p>
      <w:pPr>
        <w:pStyle w:val="ListParagraph"/>
        <w:numPr>
          <w:ilvl w:val="0"/>
          <w:numId w:val="8"/>
        </w:numPr>
        <w:spacing w:after="60" w:line="264"/>
      </w:pPr>
      <w:r>
        <w:rPr>
          <w:rFonts w:ascii="Calibri" w:cs="Calibri" w:eastAsia="Calibri" w:hAnsi="Calibri"/>
          <w:b/>
          <w:bCs/>
          <w:color w:val="14181D"/>
          <w:sz w:val="21"/>
          <w:szCs w:val="21"/>
        </w:rPr>
        <w:t xml:space="preserve">Photograph it in place before walking away</w:t>
      </w:r>
      <w:r>
        <w:rPr>
          <w:rFonts w:ascii="Calibri" w:cs="Calibri" w:eastAsia="Calibri" w:hAnsi="Calibri"/>
          <w:color w:val="14181D"/>
          <w:sz w:val="21"/>
          <w:szCs w:val="21"/>
        </w:rPr>
        <w:t xml:space="preserve"> — the notice, the vehicle, the registration and the bay in one wide shot. A notice nobody photographed is a notice the owner can say was never left, and there is no other record that it was.</w:t>
      </w:r>
    </w:p>
    <w:p>
      <w:pPr>
        <w:pStyle w:val="ListParagraph"/>
        <w:numPr>
          <w:ilvl w:val="0"/>
          <w:numId w:val="8"/>
        </w:numPr>
        <w:spacing w:after="60" w:line="264"/>
      </w:pPr>
      <w:r>
        <w:rPr>
          <w:rFonts w:ascii="Calibri" w:cs="Calibri" w:eastAsia="Calibri" w:hAnsi="Calibri"/>
          <w:color w:val="14181D"/>
          <w:sz w:val="21"/>
          <w:szCs w:val="21"/>
        </w:rPr>
        <w:t xml:space="preserve">Fill in two copies. One goes on the vehicle; the other is the file copy, and it is the one entered when the system returns.</w:t>
      </w:r>
    </w:p>
    <w:p>
      <w:pPr>
        <w:pStyle w:val="ListParagraph"/>
        <w:numPr>
          <w:ilvl w:val="0"/>
          <w:numId w:val="8"/>
        </w:numPr>
        <w:spacing w:after="60" w:line="264"/>
      </w:pPr>
      <w:r>
        <w:rPr>
          <w:rFonts w:ascii="Calibri" w:cs="Calibri" w:eastAsia="Calibri" w:hAnsi="Calibri"/>
          <w:color w:val="14181D"/>
          <w:sz w:val="21"/>
          <w:szCs w:val="21"/>
        </w:rPr>
        <w:t xml:space="preserve">Leaving a notice is not service of a statutory contravention notice under the Act. Those are the Committee’s to issue, they go to the owner rather than the windscreen, and nothing here substitutes for one.</w:t>
      </w:r>
    </w:p>
    <w:p>
      <w:pPr>
        <w:spacing w:after="12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0" w:line="264"/>
            </w:pPr>
            <w:r>
              <w:rPr>
                <w:rFonts w:ascii="Calibri" w:cs="Calibri" w:eastAsia="Calibri" w:hAnsi="Calibri"/>
                <w:b/>
                <w:bCs/>
                <w:color w:val="9C2020"/>
                <w:sz w:val="21"/>
                <w:szCs w:val="21"/>
              </w:rPr>
              <w:t xml:space="preserve">Do not wait at the vehicle, and do not approach whoever comes back to it.</w:t>
            </w:r>
            <w:r>
              <w:rPr>
                <w:rFonts w:ascii="Calibri" w:cs="Calibri" w:eastAsia="Calibri" w:hAnsi="Calibri"/>
                <w:color w:val="9C2020"/>
                <w:sz w:val="21"/>
                <w:szCs w:val="21"/>
              </w:rPr>
              <w:t xml:space="preserve"> The notice exists so that conversation does not have to happen in a car park between two people who live here.</w:t>
            </w:r>
          </w:p>
        </w:tc>
      </w:tr>
    </w:tbl>
    <w:p>
      <w:pPr>
        <w:pBdr>
          <w:top w:val="single" w:color="C9C6BE" w:sz="4" w:space="10"/>
        </w:pBdr>
        <w:spacing w:after="120" w:before="320"/>
      </w:pPr>
      <w:r>
        <w:rPr>
          <w:rFonts w:ascii="Cambria" w:cs="Cambria" w:eastAsia="Cambria" w:hAnsi="Cambria"/>
          <w:b/>
          <w:bCs/>
          <w:color w:val="14181D"/>
          <w:sz w:val="28"/>
          <w:szCs w:val="28"/>
        </w:rPr>
        <w:t xml:space="preserve">When the system comes back</w:t>
      </w:r>
    </w:p>
    <w:p>
      <w:pPr>
        <w:spacing w:after="120" w:line="264"/>
      </w:pPr>
      <w:r>
        <w:rPr>
          <w:rFonts w:ascii="Calibri" w:cs="Calibri" w:eastAsia="Calibri" w:hAnsi="Calibri"/>
          <w:color w:val="14181D"/>
          <w:sz w:val="21"/>
          <w:szCs w:val="21"/>
        </w:rPr>
        <w:t xml:space="preserve">Someone has to enter the backlog, and it should be someone who understands that the dates matter.</w:t>
      </w:r>
    </w:p>
    <w:p>
      <w:pPr>
        <w:pStyle w:val="ListParagraph"/>
        <w:numPr>
          <w:ilvl w:val="0"/>
          <w:numId w:val="9"/>
        </w:numPr>
        <w:spacing w:after="60" w:line="264"/>
      </w:pPr>
      <w:r>
        <w:rPr>
          <w:rFonts w:ascii="Calibri" w:cs="Calibri" w:eastAsia="Calibri" w:hAnsi="Calibri"/>
          <w:color w:val="14181D"/>
          <w:sz w:val="21"/>
          <w:szCs w:val="21"/>
        </w:rPr>
        <w:t xml:space="preserve">Enter records </w:t>
      </w:r>
      <w:r>
        <w:rPr>
          <w:rFonts w:ascii="Calibri" w:cs="Calibri" w:eastAsia="Calibri" w:hAnsi="Calibri"/>
          <w:b/>
          <w:bCs/>
          <w:color w:val="14181D"/>
          <w:sz w:val="21"/>
          <w:szCs w:val="21"/>
        </w:rPr>
        <w:t xml:space="preserve">in the order they happened</w:t>
      </w:r>
      <w:r>
        <w:rPr>
          <w:rFonts w:ascii="Calibri" w:cs="Calibri" w:eastAsia="Calibri" w:hAnsi="Calibri"/>
          <w:color w:val="14181D"/>
          <w:sz w:val="21"/>
          <w:szCs w:val="21"/>
        </w:rPr>
        <w:t xml:space="preserve">, not the order the forms are picked up.</w:t>
      </w:r>
    </w:p>
    <w:p>
      <w:pPr>
        <w:pStyle w:val="ListParagraph"/>
        <w:numPr>
          <w:ilvl w:val="0"/>
          <w:numId w:val="9"/>
        </w:numPr>
        <w:spacing w:after="60" w:line="264"/>
      </w:pPr>
      <w:r>
        <w:rPr>
          <w:rFonts w:ascii="Calibri" w:cs="Calibri" w:eastAsia="Calibri" w:hAnsi="Calibri"/>
          <w:color w:val="14181D"/>
          <w:sz w:val="21"/>
          <w:szCs w:val="21"/>
        </w:rPr>
        <w:t xml:space="preserve">Use the </w:t>
      </w:r>
      <w:r>
        <w:rPr>
          <w:rFonts w:ascii="Calibri" w:cs="Calibri" w:eastAsia="Calibri" w:hAnsi="Calibri"/>
          <w:b/>
          <w:bCs/>
          <w:color w:val="14181D"/>
          <w:sz w:val="21"/>
          <w:szCs w:val="21"/>
        </w:rPr>
        <w:t xml:space="preserve">date and time written on the form</w:t>
      </w:r>
      <w:r>
        <w:rPr>
          <w:rFonts w:ascii="Calibri" w:cs="Calibri" w:eastAsia="Calibri" w:hAnsi="Calibri"/>
          <w:color w:val="14181D"/>
          <w:sz w:val="21"/>
          <w:szCs w:val="21"/>
        </w:rPr>
        <w:t xml:space="preserve">, not today’s. Every screen accepts a backdated entry.</w:t>
      </w:r>
    </w:p>
    <w:p>
      <w:pPr>
        <w:pStyle w:val="ListParagraph"/>
        <w:numPr>
          <w:ilvl w:val="0"/>
          <w:numId w:val="9"/>
        </w:numPr>
        <w:spacing w:after="60" w:line="264"/>
      </w:pPr>
      <w:r>
        <w:rPr>
          <w:rFonts w:ascii="Calibri" w:cs="Calibri" w:eastAsia="Calibri" w:hAnsi="Calibri"/>
          <w:color w:val="14181D"/>
          <w:sz w:val="21"/>
          <w:szCs w:val="21"/>
        </w:rPr>
        <w:t xml:space="preserve">Where the application asks who did something, name the person on the form.</w:t>
      </w:r>
    </w:p>
    <w:p>
      <w:pPr>
        <w:pStyle w:val="ListParagraph"/>
        <w:numPr>
          <w:ilvl w:val="0"/>
          <w:numId w:val="9"/>
        </w:numPr>
        <w:spacing w:after="60" w:line="264"/>
      </w:pPr>
      <w:r>
        <w:rPr>
          <w:rFonts w:ascii="Calibri" w:cs="Calibri" w:eastAsia="Calibri" w:hAnsi="Calibri"/>
          <w:color w:val="14181D"/>
          <w:sz w:val="21"/>
          <w:szCs w:val="21"/>
        </w:rPr>
        <w:t xml:space="preserve">Attach a scan or photograph of each paper form to the record it became. The paper is the original; the entry is a transcription, and a transcription can be wrong.</w:t>
      </w:r>
    </w:p>
    <w:p>
      <w:pPr>
        <w:pStyle w:val="ListParagraph"/>
        <w:numPr>
          <w:ilvl w:val="0"/>
          <w:numId w:val="9"/>
        </w:numPr>
        <w:spacing w:after="60" w:line="264"/>
      </w:pPr>
      <w:r>
        <w:rPr>
          <w:rFonts w:ascii="Calibri" w:cs="Calibri" w:eastAsia="Calibri" w:hAnsi="Calibri"/>
          <w:color w:val="14181D"/>
          <w:sz w:val="21"/>
          <w:szCs w:val="21"/>
        </w:rPr>
        <w:t xml:space="preserve">Keep the paper. Retention runs from the record, not from the entry.</w:t>
      </w:r>
    </w:p>
    <w:p>
      <w:pPr>
        <w:pStyle w:val="ListParagraph"/>
        <w:numPr>
          <w:ilvl w:val="0"/>
          <w:numId w:val="10"/>
        </w:numPr>
        <w:spacing w:after="60" w:line="264"/>
      </w:pPr>
      <w:r>
        <w:rPr>
          <w:rFonts w:ascii="Calibri" w:cs="Calibri" w:eastAsia="Calibri" w:hAnsi="Calibri"/>
          <w:b/>
          <w:bCs/>
          <w:color w:val="14181D"/>
          <w:sz w:val="21"/>
          <w:szCs w:val="21"/>
        </w:rPr>
        <w:t xml:space="preserve">Tell the Committee what was entered and when.</w:t>
      </w:r>
      <w:r>
        <w:rPr>
          <w:rFonts w:ascii="Calibri" w:cs="Calibri" w:eastAsia="Calibri" w:hAnsi="Calibri"/>
          <w:color w:val="14181D"/>
          <w:sz w:val="21"/>
          <w:szCs w:val="21"/>
        </w:rPr>
        <w:t xml:space="preserve"> A batch of entries made in one afternoon, all dated across the previous fortnight, looks like tampering to anyone who does not know there was an outage. A line in the minutes saying the system was unavailable from </w:t>
      </w:r>
      <w:r>
        <w:rPr>
          <w:rFonts w:ascii="Calibri" w:cs="Calibri" w:eastAsia="Calibri" w:hAnsi="Calibri"/>
          <w:i/>
          <w:iCs/>
          <w:color w:val="14181D"/>
          <w:sz w:val="21"/>
          <w:szCs w:val="21"/>
        </w:rPr>
        <w:t xml:space="preserve">X</w:t>
      </w:r>
      <w:r>
        <w:rPr>
          <w:rFonts w:ascii="Calibri" w:cs="Calibri" w:eastAsia="Calibri" w:hAnsi="Calibri"/>
          <w:color w:val="14181D"/>
          <w:sz w:val="21"/>
          <w:szCs w:val="21"/>
        </w:rPr>
        <w:t xml:space="preserve"> to </w:t>
      </w:r>
      <w:r>
        <w:rPr>
          <w:rFonts w:ascii="Calibri" w:cs="Calibri" w:eastAsia="Calibri" w:hAnsi="Calibri"/>
          <w:i/>
          <w:iCs/>
          <w:color w:val="14181D"/>
          <w:sz w:val="21"/>
          <w:szCs w:val="21"/>
        </w:rPr>
        <w:t xml:space="preserve">Y</w:t>
      </w:r>
      <w:r>
        <w:rPr>
          <w:rFonts w:ascii="Calibri" w:cs="Calibri" w:eastAsia="Calibri" w:hAnsi="Calibri"/>
          <w:color w:val="14181D"/>
          <w:sz w:val="21"/>
          <w:szCs w:val="21"/>
        </w:rPr>
        <w:t xml:space="preserve"> and the backlog was entered on </w:t>
      </w:r>
      <w:r>
        <w:rPr>
          <w:rFonts w:ascii="Calibri" w:cs="Calibri" w:eastAsia="Calibri" w:hAnsi="Calibri"/>
          <w:i/>
          <w:iCs/>
          <w:color w:val="14181D"/>
          <w:sz w:val="21"/>
          <w:szCs w:val="21"/>
        </w:rPr>
        <w:t xml:space="preserve">Z</w:t>
      </w:r>
      <w:r>
        <w:rPr>
          <w:rFonts w:ascii="Calibri" w:cs="Calibri" w:eastAsia="Calibri" w:hAnsi="Calibri"/>
          <w:color w:val="14181D"/>
          <w:sz w:val="21"/>
          <w:szCs w:val="21"/>
        </w:rPr>
        <w:t xml:space="preserve"> prevents that entirely.</w:t>
      </w:r>
    </w:p>
    <w:p>
      <w:pPr>
        <w:pBdr>
          <w:top w:val="single" w:color="C9C6BE" w:sz="4" w:space="10"/>
        </w:pBdr>
        <w:spacing w:after="120" w:before="320"/>
      </w:pPr>
      <w:r>
        <w:rPr>
          <w:rFonts w:ascii="Cambria" w:cs="Cambria" w:eastAsia="Cambria" w:hAnsi="Cambria"/>
          <w:b/>
          <w:bCs/>
          <w:color w:val="14181D"/>
          <w:sz w:val="28"/>
          <w:szCs w:val="28"/>
        </w:rPr>
        <w:t xml:space="preserve">If you are not sure</w:t>
      </w:r>
    </w:p>
    <w:p>
      <w:pPr>
        <w:spacing w:after="120" w:line="264"/>
      </w:pPr>
      <w:r>
        <w:rPr>
          <w:rFonts w:ascii="Calibri" w:cs="Calibri" w:eastAsia="Calibri" w:hAnsi="Calibri"/>
          <w:color w:val="14181D"/>
          <w:sz w:val="21"/>
          <w:szCs w:val="21"/>
        </w:rPr>
        <w:t xml:space="preserve">Do less, and write more. The failures that cost a body corporate money are the ones where somebody acted without authority — not the ones where somebody wrote a careful note and waited for the Committee. A vehicle parked for another day costs nothing. A vehicle towed without authority costs the scheme the claim, the excess and the argument.</w:t>
      </w:r>
    </w:p>
    <w:p>
      <w:pPr>
        <w:pageBreakBefore/>
        <w:spacing w:after="0"/>
      </w:pPr>
    </w:p>
    <w:tbl>
      <w:tblPr>
        <w:tblW w:type="pct" w:w="100%"/>
        <w:tblBorders>
          <w:top w:val="none" w:color="FFFFFF" w:sz="0"/>
          <w:left w:val="none" w:color="FFFFFF" w:sz="0"/>
          <w:bottom w:val="single" w:color="14181D" w:sz="12"/>
          <w:right w:val="none" w:color="FFFFFF" w:sz="0"/>
          <w:insideH w:val="single" w:color="auto" w:sz="4"/>
          <w:insideV w:val="single" w:color="auto" w:sz="4"/>
        </w:tblBorders>
      </w:tblPr>
      <w:tblGrid>
        <w:gridCol w:w="7600"/>
        <w:gridCol w:w="2000"/>
      </w:tblGrid>
      <w:tr>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r>
              <w:rPr>
                <w:rFonts w:ascii="Cambria" w:cs="Cambria" w:eastAsia="Cambria" w:hAnsi="Cambria"/>
                <w:b/>
                <w:bCs/>
                <w:color w:val="14181D"/>
                <w:sz w:val="32"/>
                <w:szCs w:val="32"/>
              </w:rPr>
              <w:t xml:space="preserve">Observation record</w:t>
            </w:r>
          </w:p>
        </w:tc>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pPr>
              <w:jc w:val="right"/>
            </w:pPr>
            <w:r>
              <w:rPr>
                <w:rFonts w:ascii="Calibri" w:cs="Calibri" w:eastAsia="Calibri" w:hAnsi="Calibri"/>
                <w:b/>
                <w:bCs/>
                <w:color w:val="1F4E79"/>
                <w:spacing w:val="30"/>
                <w:sz w:val="20"/>
                <w:szCs w:val="20"/>
              </w:rPr>
              <w:t xml:space="preserve">FORM A</w:t>
            </w:r>
          </w:p>
        </w:tc>
      </w:tr>
    </w:tbl>
    <w:p>
      <w:pPr>
        <w:spacing w:after="20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Observer name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(exactly as on the plate)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State or territory</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Make, model, colour</w:t>
            </w:r>
          </w:p>
        </w:tc>
        <w:tc>
          <w:tcPr>
            <w:tcW w:type="dxa" w:w="6000"/>
            <w:tcMar>
              <w:top w:type="dxa" w:w="60"/>
              <w:left w:type="dxa" w:w="120"/>
              <w:bottom w:type="dxa" w:w="60"/>
              <w:right w:type="dxa" w:w="120"/>
            </w:tcMar>
            <w:vAlign w:val="center"/>
          </w:tcPr>
          <w:p/>
        </w:tc>
      </w:tr>
    </w:tbl>
    <w:p>
      <w:pPr>
        <w:spacing w:after="80" w:before="240"/>
      </w:pPr>
      <w:r>
        <w:rPr>
          <w:rFonts w:ascii="Calibri" w:cs="Calibri" w:eastAsia="Calibri" w:hAnsi="Calibri"/>
          <w:b/>
          <w:bCs/>
          <w:color w:val="4A5460"/>
          <w:spacing w:val="20"/>
          <w:sz w:val="16"/>
          <w:szCs w:val="16"/>
        </w:rPr>
        <w:t xml:space="preserve">FIRST OBSERVATION</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Time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Location or bay</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Photographs taken (how many)</w:t>
            </w:r>
          </w:p>
        </w:tc>
        <w:tc>
          <w:tcPr>
            <w:tcW w:type="dxa" w:w="6000"/>
            <w:tcMar>
              <w:top w:type="dxa" w:w="60"/>
              <w:left w:type="dxa" w:w="120"/>
              <w:bottom w:type="dxa" w:w="60"/>
              <w:right w:type="dxa" w:w="120"/>
            </w:tcMar>
            <w:vAlign w:val="center"/>
          </w:tcPr>
          <w:p/>
        </w:tc>
      </w:tr>
    </w:tbl>
    <w:p>
      <w:pPr>
        <w:spacing w:after="80" w:before="240"/>
      </w:pPr>
      <w:r>
        <w:rPr>
          <w:rFonts w:ascii="Calibri" w:cs="Calibri" w:eastAsia="Calibri" w:hAnsi="Calibri"/>
          <w:b/>
          <w:bCs/>
          <w:color w:val="4A5460"/>
          <w:spacing w:val="20"/>
          <w:sz w:val="16"/>
          <w:szCs w:val="16"/>
        </w:rPr>
        <w:t xml:space="preserve">SECOND OBSERVATION</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Time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Location or bay</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Photographs taken (how many)</w:t>
            </w:r>
          </w:p>
        </w:tc>
        <w:tc>
          <w:tcPr>
            <w:tcW w:type="dxa" w:w="6000"/>
            <w:tcMar>
              <w:top w:type="dxa" w:w="60"/>
              <w:left w:type="dxa" w:w="120"/>
              <w:bottom w:type="dxa" w:w="60"/>
              <w:right w:type="dxa" w:w="120"/>
            </w:tcMar>
            <w:vAlign w:val="center"/>
          </w:tcPr>
          <w:p/>
        </w:tc>
      </w:tr>
    </w:tbl>
    <w:p>
      <w:pPr>
        <w:spacing w:after="60" w:before="200"/>
      </w:pPr>
      <w:r>
        <w:rPr>
          <w:rFonts w:ascii="Calibri" w:cs="Calibri" w:eastAsia="Calibri" w:hAnsi="Calibri"/>
          <w:b/>
          <w:bCs/>
          <w:color w:val="4A5460"/>
          <w:sz w:val="19"/>
          <w:szCs w:val="19"/>
        </w:rPr>
        <w:t xml:space="preserve">What you saw — factual only. Do not write “remained”, “stayed” or “continuously parked”. Two observations establish presence at two times and nothing more.</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Obstruction or safety concern?</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Yes  /  No — if yes, describe above</w:t>
            </w: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 given to the Committee</w:t>
            </w:r>
          </w:p>
        </w:tc>
        <w:tc>
          <w:tcPr>
            <w:tcW w:type="dxa" w:w="6000"/>
            <w:tcMar>
              <w:top w:type="dxa" w:w="60"/>
              <w:left w:type="dxa" w:w="120"/>
              <w:bottom w:type="dxa" w:w="60"/>
              <w:right w:type="dxa" w:w="120"/>
            </w:tcMar>
            <w:vAlign w:val="center"/>
          </w:tcPr>
          <w:p/>
        </w:tc>
      </w:tr>
    </w:tbl>
    <w:tbl>
      <w:tblPr>
        <w:tblW w:type="pct" w:w="100%"/>
        <w:tblBorders>
          <w:top w:val="single" w:color="14181D" w:sz="12"/>
          <w:left w:val="none" w:color="FFFFFF" w:sz="0"/>
          <w:bottom w:val="none" w:color="FFFFFF" w:sz="0"/>
          <w:right w:val="none" w:color="FFFFFF" w:sz="0"/>
          <w:insideH w:val="single" w:color="auto" w:sz="4"/>
          <w:insideV w:val="single" w:color="auto" w:sz="4"/>
        </w:tblBorders>
      </w:tblPr>
      <w:tblGrid>
        <w:gridCol w:w="100"/>
        <w:gridCol w:w="100"/>
      </w:tblGrid>
      <w:tr>
        <w:trPr>
          <w:trHeight w:val="700" w:hRule="atLeast"/>
        </w:trPr>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Observer’s signature</w:t>
            </w:r>
          </w:p>
        </w:tc>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Date</w:t>
            </w:r>
          </w:p>
        </w:tc>
      </w:tr>
    </w:tbl>
    <w:p>
      <w:pPr>
        <w:spacing w:after="0" w:before="0" w:line="20"/>
      </w:pPr>
      <w:r>
        <w:rPr>
          <w:sz w:val="2"/>
          <w:szCs w:val="2"/>
        </w:rPr>
        <w:t xml:space="preserve"/>
      </w:r>
    </w:p>
    <w:p>
      <w:pPr>
        <w:pageBreakBefore/>
        <w:spacing w:after="0"/>
      </w:pPr>
    </w:p>
    <w:tbl>
      <w:tblPr>
        <w:tblW w:type="pct" w:w="100%"/>
        <w:tblBorders>
          <w:top w:val="none" w:color="FFFFFF" w:sz="0"/>
          <w:left w:val="none" w:color="FFFFFF" w:sz="0"/>
          <w:bottom w:val="single" w:color="14181D" w:sz="12"/>
          <w:right w:val="none" w:color="FFFFFF" w:sz="0"/>
          <w:insideH w:val="single" w:color="auto" w:sz="4"/>
          <w:insideV w:val="single" w:color="auto" w:sz="4"/>
        </w:tblBorders>
      </w:tblPr>
      <w:tblGrid>
        <w:gridCol w:w="7600"/>
        <w:gridCol w:w="2000"/>
      </w:tblGrid>
      <w:tr>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r>
              <w:rPr>
                <w:rFonts w:ascii="Cambria" w:cs="Cambria" w:eastAsia="Cambria" w:hAnsi="Cambria"/>
                <w:b/>
                <w:bCs/>
                <w:color w:val="14181D"/>
                <w:sz w:val="32"/>
                <w:szCs w:val="32"/>
              </w:rPr>
              <w:t xml:space="preserve">Visitor parking — up to 24 hours</w:t>
            </w:r>
          </w:p>
        </w:tc>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pPr>
              <w:jc w:val="right"/>
            </w:pPr>
            <w:r>
              <w:rPr>
                <w:rFonts w:ascii="Calibri" w:cs="Calibri" w:eastAsia="Calibri" w:hAnsi="Calibri"/>
                <w:b/>
                <w:bCs/>
                <w:color w:val="1F4E79"/>
                <w:spacing w:val="30"/>
                <w:sz w:val="20"/>
                <w:szCs w:val="20"/>
              </w:rPr>
              <w:t xml:space="preserve">FORM B</w:t>
            </w:r>
          </w:p>
        </w:tc>
      </w:tr>
    </w:tbl>
    <w:p>
      <w:pPr>
        <w:spacing w:after="20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Lot number</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Resident’s name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State or territory</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Make, model, colour</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Arrived — date and time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Expected to leave — date and time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Length of stay</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hours</w:t>
            </w:r>
          </w:p>
        </w:tc>
      </w:tr>
    </w:tbl>
    <w:p>
      <w:pPr>
        <w:spacing w:after="160"/>
      </w:pPr>
    </w:p>
    <w:tbl>
      <w:tblPr>
        <w:tblW w:type="pct" w:w="100%"/>
        <w:tblBorders>
          <w:top w:val="none" w:color="FFFFFF" w:sz="0"/>
          <w:left w:val="single" w:color="9A7A20" w:sz="18"/>
          <w:bottom w:val="none" w:color="FFFFFF" w:sz="0"/>
          <w:right w:val="none" w:color="FFFFFF" w:sz="0"/>
          <w:insideH w:val="single" w:color="auto" w:sz="4"/>
          <w:insideV w:val="single" w:color="auto" w:sz="4"/>
        </w:tblBorders>
      </w:tblPr>
      <w:tblGrid>
        <w:gridCol w:w="100"/>
      </w:tblGrid>
      <w:tr>
        <w:tc>
          <w:tcPr>
            <w:shd w:fill="FDF6E3" w:val="clear"/>
            <w:tcMar>
              <w:top w:type="dxa" w:w="160"/>
              <w:left w:type="dxa" w:w="200"/>
              <w:bottom w:type="dxa" w:w="160"/>
              <w:right w:type="dxa" w:w="200"/>
            </w:tcMar>
          </w:tcPr>
          <w:p>
            <w:pPr>
              <w:spacing w:after="0" w:line="264"/>
            </w:pPr>
            <w:r>
              <w:rPr>
                <w:rFonts w:ascii="Calibri" w:cs="Calibri" w:eastAsia="Calibri" w:hAnsi="Calibri"/>
                <w:color w:val="14181D"/>
                <w:sz w:val="21"/>
                <w:szCs w:val="21"/>
              </w:rPr>
              <w:t xml:space="preserve">A stay of </w:t>
            </w:r>
            <w:r>
              <w:rPr>
                <w:rFonts w:ascii="Calibri" w:cs="Calibri" w:eastAsia="Calibri" w:hAnsi="Calibri"/>
                <w:b/>
                <w:bCs/>
                <w:color w:val="14181D"/>
                <w:sz w:val="21"/>
                <w:szCs w:val="21"/>
              </w:rPr>
              <w:t xml:space="preserve">more than 24 hours</w:t>
            </w:r>
            <w:r>
              <w:rPr>
                <w:rFonts w:ascii="Calibri" w:cs="Calibri" w:eastAsia="Calibri" w:hAnsi="Calibri"/>
                <w:color w:val="14181D"/>
                <w:sz w:val="21"/>
                <w:szCs w:val="21"/>
              </w:rPr>
              <w:t xml:space="preserve"> cannot be recorded on this form. Use Form C.</w:t>
            </w:r>
          </w:p>
        </w:tc>
      </w:tr>
    </w:tbl>
    <w:p>
      <w:pPr>
        <w:spacing w:after="80" w:before="240"/>
      </w:pPr>
      <w:r>
        <w:rPr>
          <w:rFonts w:ascii="Calibri" w:cs="Calibri" w:eastAsia="Calibri" w:hAnsi="Calibri"/>
          <w:b/>
          <w:bCs/>
          <w:color w:val="4A5460"/>
          <w:spacing w:val="20"/>
          <w:sz w:val="16"/>
          <w:szCs w:val="16"/>
        </w:rPr>
        <w:t xml:space="preserve">CHECKED AGAINST THE PRINTED REGISTER</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Register printout dated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found on the register?</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Yes  /  No</w:t>
            </w:r>
          </w:p>
        </w:tc>
      </w:tr>
    </w:tbl>
    <w:p>
      <w:pPr>
        <w:spacing w:after="16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color w:val="9C2020"/>
                <w:sz w:val="21"/>
                <w:szCs w:val="21"/>
              </w:rPr>
              <w:t xml:space="preserve">☐   </w:t>
            </w:r>
            <w:r>
              <w:rPr>
                <w:rFonts w:ascii="Calibri" w:cs="Calibri" w:eastAsia="Calibri" w:hAnsi="Calibri"/>
                <w:b/>
                <w:bCs/>
                <w:color w:val="9C2020"/>
                <w:sz w:val="21"/>
                <w:szCs w:val="21"/>
              </w:rPr>
              <w:t xml:space="preserve">This registration is on the resident vehicle register.</w:t>
            </w:r>
          </w:p>
          <w:p>
            <w:pPr>
              <w:spacing w:after="0" w:line="264"/>
            </w:pPr>
            <w:r>
              <w:rPr>
                <w:rFonts w:ascii="Calibri" w:cs="Calibri" w:eastAsia="Calibri" w:hAnsi="Calibri"/>
                <w:color w:val="9C2020"/>
                <w:sz w:val="21"/>
                <w:szCs w:val="21"/>
              </w:rPr>
              <w:t xml:space="preserve">Visitor parking is for genuine visitors. The 24-hour period is not a grace period for residents, and a resident vehicle in a visitor bay is in breach from the time it is parked there. </w:t>
            </w:r>
            <w:r>
              <w:rPr>
                <w:rFonts w:ascii="Calibri" w:cs="Calibri" w:eastAsia="Calibri" w:hAnsi="Calibri"/>
                <w:b/>
                <w:bCs/>
                <w:color w:val="9C2020"/>
                <w:sz w:val="21"/>
                <w:szCs w:val="21"/>
              </w:rPr>
              <w:t xml:space="preserve">Give this form to the Committee today.</w:t>
            </w:r>
          </w:p>
        </w:tc>
      </w:tr>
    </w:tbl>
    <w:p>
      <w:pPr>
        <w:spacing w:after="200"/>
      </w:pPr>
    </w:p>
    <w:tbl>
      <w:tblPr>
        <w:tblW w:type="pct" w:w="100%"/>
        <w:tblBorders>
          <w:top w:val="single" w:color="14181D" w:sz="12"/>
          <w:left w:val="none" w:color="FFFFFF" w:sz="0"/>
          <w:bottom w:val="none" w:color="FFFFFF" w:sz="0"/>
          <w:right w:val="none" w:color="FFFFFF" w:sz="0"/>
          <w:insideH w:val="single" w:color="auto" w:sz="4"/>
          <w:insideV w:val="single" w:color="auto" w:sz="4"/>
        </w:tblBorders>
      </w:tblPr>
      <w:tblGrid>
        <w:gridCol w:w="100"/>
        <w:gridCol w:w="100"/>
      </w:tblGrid>
      <w:tr>
        <w:trPr>
          <w:trHeight w:val="700" w:hRule="atLeast"/>
        </w:trPr>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Recorded by</w:t>
            </w:r>
          </w:p>
        </w:tc>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Signature and date</w:t>
            </w:r>
          </w:p>
        </w:tc>
      </w:tr>
    </w:tbl>
    <w:p>
      <w:pPr>
        <w:spacing w:after="0" w:before="0" w:line="20"/>
      </w:pPr>
      <w:r>
        <w:rPr>
          <w:sz w:val="2"/>
          <w:szCs w:val="2"/>
        </w:rPr>
        <w:t xml:space="preserve"/>
      </w:r>
    </w:p>
    <w:p>
      <w:pPr>
        <w:pageBreakBefore/>
        <w:spacing w:after="0"/>
      </w:pPr>
    </w:p>
    <w:tbl>
      <w:tblPr>
        <w:tblW w:type="pct" w:w="100%"/>
        <w:tblBorders>
          <w:top w:val="none" w:color="FFFFFF" w:sz="0"/>
          <w:left w:val="none" w:color="FFFFFF" w:sz="0"/>
          <w:bottom w:val="single" w:color="14181D" w:sz="12"/>
          <w:right w:val="none" w:color="FFFFFF" w:sz="0"/>
          <w:insideH w:val="single" w:color="auto" w:sz="4"/>
          <w:insideV w:val="single" w:color="auto" w:sz="4"/>
        </w:tblBorders>
      </w:tblPr>
      <w:tblGrid>
        <w:gridCol w:w="7600"/>
        <w:gridCol w:w="2000"/>
      </w:tblGrid>
      <w:tr>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r>
              <w:rPr>
                <w:rFonts w:ascii="Cambria" w:cs="Cambria" w:eastAsia="Cambria" w:hAnsi="Cambria"/>
                <w:b/>
                <w:bCs/>
                <w:color w:val="14181D"/>
                <w:sz w:val="32"/>
                <w:szCs w:val="32"/>
              </w:rPr>
              <w:t xml:space="preserve">Application for a stay longer than 24 hours</w:t>
            </w:r>
          </w:p>
        </w:tc>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pPr>
              <w:jc w:val="right"/>
            </w:pPr>
            <w:r>
              <w:rPr>
                <w:rFonts w:ascii="Calibri" w:cs="Calibri" w:eastAsia="Calibri" w:hAnsi="Calibri"/>
                <w:b/>
                <w:bCs/>
                <w:color w:val="1F4E79"/>
                <w:spacing w:val="30"/>
                <w:sz w:val="20"/>
                <w:szCs w:val="20"/>
              </w:rPr>
              <w:t xml:space="preserve">FORM C</w:t>
            </w:r>
          </w:p>
        </w:tc>
      </w:tr>
    </w:tbl>
    <w:p>
      <w:pPr>
        <w:spacing w:after="20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0" w:line="264"/>
            </w:pPr>
            <w:r>
              <w:rPr>
                <w:rFonts w:ascii="Calibri" w:cs="Calibri" w:eastAsia="Calibri" w:hAnsi="Calibri"/>
                <w:b/>
                <w:bCs/>
                <w:color w:val="9C2020"/>
                <w:sz w:val="21"/>
                <w:szCs w:val="21"/>
              </w:rPr>
              <w:t xml:space="preserve">Submitting this is not approval. No answer is a refusal, not a queue.</w:t>
            </w:r>
          </w:p>
        </w:tc>
      </w:tr>
    </w:tbl>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Lot number</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Resident’s name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Resident’s telephone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and state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Make, model, colour</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Arrived — date and time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Requested departure — date and time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Total length requested</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hours  /  days</w:t>
            </w:r>
          </w:p>
        </w:tc>
      </w:tr>
    </w:tbl>
    <w:p>
      <w:pPr>
        <w:spacing w:after="60" w:before="200"/>
      </w:pPr>
      <w:r>
        <w:rPr>
          <w:rFonts w:ascii="Calibri" w:cs="Calibri" w:eastAsia="Calibri" w:hAnsi="Calibri"/>
          <w:b/>
          <w:bCs/>
          <w:color w:val="4A5460"/>
          <w:sz w:val="19"/>
          <w:szCs w:val="19"/>
        </w:rPr>
        <w:t xml:space="preserve">Reason for the extended stay — the Committee cannot decide an application that does not say why it is needed.</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tbl>
      <w:tblPr>
        <w:tblW w:type="pct" w:w="100%"/>
        <w:tblBorders>
          <w:top w:val="single" w:color="14181D" w:sz="12"/>
          <w:left w:val="none" w:color="FFFFFF" w:sz="0"/>
          <w:bottom w:val="none" w:color="FFFFFF" w:sz="0"/>
          <w:right w:val="none" w:color="FFFFFF" w:sz="0"/>
          <w:insideH w:val="single" w:color="auto" w:sz="4"/>
          <w:insideV w:val="single" w:color="auto" w:sz="4"/>
        </w:tblBorders>
      </w:tblPr>
      <w:tblGrid>
        <w:gridCol w:w="100"/>
        <w:gridCol w:w="100"/>
      </w:tblGrid>
      <w:tr>
        <w:trPr>
          <w:trHeight w:val="700" w:hRule="atLeast"/>
        </w:trPr>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Resident’s signature and date</w:t>
            </w:r>
          </w:p>
        </w:tc>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Received by, and date received</w:t>
            </w:r>
          </w:p>
        </w:tc>
      </w:tr>
    </w:tbl>
    <w:p>
      <w:pPr>
        <w:spacing w:after="80" w:before="240"/>
      </w:pPr>
      <w:r>
        <w:rPr>
          <w:rFonts w:ascii="Calibri" w:cs="Calibri" w:eastAsia="Calibri" w:hAnsi="Calibri"/>
          <w:b/>
          <w:bCs/>
          <w:color w:val="4A5460"/>
          <w:spacing w:val="20"/>
          <w:sz w:val="16"/>
          <w:szCs w:val="16"/>
        </w:rPr>
        <w:t xml:space="preserve">COMMITTEE USE — ATTACH FORM D</w:t>
      </w:r>
    </w:p>
    <w:p>
      <w:pPr>
        <w:spacing w:after="120" w:line="264"/>
      </w:pPr>
      <w:r>
        <w:rPr>
          <w:rFonts w:ascii="Calibri" w:cs="Calibri" w:eastAsia="Calibri" w:hAnsi="Calibri"/>
          <w:color w:val="4A5460"/>
          <w:sz w:val="19"/>
          <w:szCs w:val="19"/>
        </w:rPr>
        <w:t xml:space="preserve">An approval must state when it expires. An open-ended approval is one nobody can enforce the end of.</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Decision</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Approved  /  Approved with conditions  /  Declined  /  More information required</w:t>
            </w: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Approval starts</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Approval expires</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Conditions</w:t>
            </w:r>
          </w:p>
        </w:tc>
        <w:tc>
          <w:tcPr>
            <w:tcW w:type="dxa" w:w="6000"/>
            <w:tcMar>
              <w:top w:type="dxa" w:w="60"/>
              <w:left w:type="dxa" w:w="120"/>
              <w:bottom w:type="dxa" w:w="60"/>
              <w:right w:type="dxa" w:w="120"/>
            </w:tcMar>
            <w:vAlign w:val="center"/>
          </w:tcPr>
          <w:p/>
        </w:tc>
      </w:tr>
    </w:tbl>
    <w:p>
      <w:pPr>
        <w:spacing w:after="0" w:before="0" w:line="20"/>
      </w:pPr>
      <w:r>
        <w:rPr>
          <w:sz w:val="2"/>
          <w:szCs w:val="2"/>
        </w:rPr>
        <w:t xml:space="preserve"/>
      </w:r>
    </w:p>
    <w:p>
      <w:pPr>
        <w:pageBreakBefore/>
        <w:spacing w:after="0"/>
      </w:pPr>
    </w:p>
    <w:tbl>
      <w:tblPr>
        <w:tblW w:type="pct" w:w="100%"/>
        <w:tblBorders>
          <w:top w:val="none" w:color="FFFFFF" w:sz="0"/>
          <w:left w:val="none" w:color="FFFFFF" w:sz="0"/>
          <w:bottom w:val="single" w:color="14181D" w:sz="12"/>
          <w:right w:val="none" w:color="FFFFFF" w:sz="0"/>
          <w:insideH w:val="single" w:color="auto" w:sz="4"/>
          <w:insideV w:val="single" w:color="auto" w:sz="4"/>
        </w:tblBorders>
      </w:tblPr>
      <w:tblGrid>
        <w:gridCol w:w="7600"/>
        <w:gridCol w:w="2000"/>
      </w:tblGrid>
      <w:tr>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r>
              <w:rPr>
                <w:rFonts w:ascii="Cambria" w:cs="Cambria" w:eastAsia="Cambria" w:hAnsi="Cambria"/>
                <w:b/>
                <w:bCs/>
                <w:color w:val="14181D"/>
                <w:sz w:val="32"/>
                <w:szCs w:val="32"/>
              </w:rPr>
              <w:t xml:space="preserve">Committee decision record</w:t>
            </w:r>
          </w:p>
        </w:tc>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pPr>
              <w:jc w:val="right"/>
            </w:pPr>
            <w:r>
              <w:rPr>
                <w:rFonts w:ascii="Calibri" w:cs="Calibri" w:eastAsia="Calibri" w:hAnsi="Calibri"/>
                <w:b/>
                <w:bCs/>
                <w:color w:val="1F4E79"/>
                <w:spacing w:val="30"/>
                <w:sz w:val="20"/>
                <w:szCs w:val="20"/>
              </w:rPr>
              <w:t xml:space="preserve">FORM D</w:t>
            </w:r>
          </w:p>
        </w:tc>
      </w:tr>
    </w:tbl>
    <w:p>
      <w:pPr>
        <w:spacing w:after="200"/>
      </w:pPr>
    </w:p>
    <w:p>
      <w:pPr>
        <w:spacing w:after="120" w:line="264"/>
      </w:pPr>
      <w:r>
        <w:rPr>
          <w:rFonts w:ascii="Calibri" w:cs="Calibri" w:eastAsia="Calibri" w:hAnsi="Calibri"/>
          <w:color w:val="4A5460"/>
          <w:sz w:val="19"/>
          <w:szCs w:val="19"/>
        </w:rPr>
        <w:t xml:space="preserve">Every decision needs one of these — a classification, a warning, an extended visitor approval, a tow, or a cancellation.</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Decision reference (assign when entered)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Subject</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Classification / Warning / Extended visitor / Tow / Cancel tow / Other</w:t>
            </w: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What is being decided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 decided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Mechanism</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Meeting motion  /  Vote outside a meeting  /  Delegated authority</w:t>
            </w: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Motion reference</w:t>
            </w:r>
          </w:p>
        </w:tc>
        <w:tc>
          <w:tcPr>
            <w:tcW w:type="dxa" w:w="6000"/>
            <w:tcMar>
              <w:top w:type="dxa" w:w="60"/>
              <w:left w:type="dxa" w:w="120"/>
              <w:bottom w:type="dxa" w:w="60"/>
              <w:right w:type="dxa" w:w="120"/>
            </w:tcMar>
            <w:vAlign w:val="center"/>
          </w:tcPr>
          <w:p/>
        </w:tc>
      </w:tr>
    </w:tbl>
    <w:p>
      <w:pPr>
        <w:spacing w:after="80" w:before="240"/>
      </w:pPr>
      <w:r>
        <w:rPr>
          <w:rFonts w:ascii="Calibri" w:cs="Calibri" w:eastAsia="Calibri" w:hAnsi="Calibri"/>
          <w:b/>
          <w:bCs/>
          <w:color w:val="4A5460"/>
          <w:spacing w:val="20"/>
          <w:sz w:val="16"/>
          <w:szCs w:val="16"/>
        </w:rPr>
        <w:t xml:space="preserve">HOW EACH MEMBER VOTED — LIST EVERY ELIGIBLE MEMBER</w:t>
      </w:r>
    </w:p>
    <w:p>
      <w:pPr>
        <w:spacing w:after="120" w:line="264"/>
      </w:pPr>
      <w:r>
        <w:rPr>
          <w:rFonts w:ascii="Calibri" w:cs="Calibri" w:eastAsia="Calibri" w:hAnsi="Calibri"/>
          <w:color w:val="4A5460"/>
          <w:sz w:val="18"/>
          <w:szCs w:val="18"/>
        </w:rPr>
        <w:t xml:space="preserve">“Did not participate” is a fact about the decision, not a gap in it. Record it.</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2000"/>
        <w:gridCol w:w="1500"/>
        <w:gridCol w:w="1000"/>
        <w:gridCol w:w="950"/>
        <w:gridCol w:w="1050"/>
        <w:gridCol w:w="1050"/>
        <w:gridCol w:w="2050"/>
      </w:tblGrid>
      <w:tr>
        <w:trPr>
          <w:tblHeader/>
        </w:trPr>
        <w:tc>
          <w:tcPr>
            <w:tcW w:type="dxa" w:w="200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Member</w:t>
            </w:r>
          </w:p>
        </w:tc>
        <w:tc>
          <w:tcPr>
            <w:tcW w:type="dxa" w:w="150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Position</w:t>
            </w:r>
          </w:p>
        </w:tc>
        <w:tc>
          <w:tcPr>
            <w:tcW w:type="dxa" w:w="100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In favour</w:t>
            </w:r>
          </w:p>
        </w:tc>
        <w:tc>
          <w:tcPr>
            <w:tcW w:type="dxa" w:w="95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Against</w:t>
            </w:r>
          </w:p>
        </w:tc>
        <w:tc>
          <w:tcPr>
            <w:tcW w:type="dxa" w:w="105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Abstained</w:t>
            </w:r>
          </w:p>
        </w:tc>
        <w:tc>
          <w:tcPr>
            <w:tcW w:type="dxa" w:w="105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Excluded</w:t>
            </w:r>
          </w:p>
        </w:tc>
        <w:tc>
          <w:tcPr>
            <w:tcW w:type="dxa" w:w="2050"/>
            <w:shd w:fill="EAF0F6" w:val="clear"/>
            <w:tcMar>
              <w:top w:type="dxa" w:w="80"/>
              <w:left w:type="dxa" w:w="100"/>
              <w:bottom w:type="dxa" w:w="80"/>
              <w:right w:type="dxa" w:w="100"/>
            </w:tcMar>
          </w:tcPr>
          <w:p>
            <w:r>
              <w:rPr>
                <w:rFonts w:ascii="Calibri" w:cs="Calibri" w:eastAsia="Calibri" w:hAnsi="Calibri"/>
                <w:b/>
                <w:bCs/>
                <w:color w:val="14181D"/>
                <w:sz w:val="17"/>
                <w:szCs w:val="17"/>
              </w:rPr>
              <w:t xml:space="preserve">Did not participate</w:t>
            </w:r>
          </w:p>
        </w:tc>
      </w:tr>
      <w:tr>
        <w:trPr>
          <w:trHeight w:val="420" w:hRule="atLeast"/>
        </w:trPr>
        <w:tc>
          <w:tcPr>
            <w:tcW w:type="dxa" w:w="2000"/>
            <w:tcMar>
              <w:top w:type="dxa" w:w="60"/>
              <w:left w:type="dxa" w:w="100"/>
              <w:bottom w:type="dxa" w:w="60"/>
              <w:right w:type="dxa" w:w="100"/>
            </w:tcMar>
          </w:tcPr>
          <w:p/>
        </w:tc>
        <w:tc>
          <w:tcPr>
            <w:tcW w:type="dxa" w:w="1500"/>
            <w:tcMar>
              <w:top w:type="dxa" w:w="60"/>
              <w:left w:type="dxa" w:w="100"/>
              <w:bottom w:type="dxa" w:w="60"/>
              <w:right w:type="dxa" w:w="100"/>
            </w:tcMar>
          </w:tcPr>
          <w:p/>
        </w:tc>
        <w:tc>
          <w:tcPr>
            <w:tcW w:type="dxa" w:w="1000"/>
            <w:tcMar>
              <w:top w:type="dxa" w:w="60"/>
              <w:left w:type="dxa" w:w="100"/>
              <w:bottom w:type="dxa" w:w="60"/>
              <w:right w:type="dxa" w:w="100"/>
            </w:tcMar>
          </w:tcPr>
          <w:p/>
        </w:tc>
        <w:tc>
          <w:tcPr>
            <w:tcW w:type="dxa" w:w="9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2050"/>
            <w:tcMar>
              <w:top w:type="dxa" w:w="60"/>
              <w:left w:type="dxa" w:w="100"/>
              <w:bottom w:type="dxa" w:w="60"/>
              <w:right w:type="dxa" w:w="100"/>
            </w:tcMar>
          </w:tcPr>
          <w:p/>
        </w:tc>
      </w:tr>
      <w:tr>
        <w:trPr>
          <w:trHeight w:val="420" w:hRule="atLeast"/>
        </w:trPr>
        <w:tc>
          <w:tcPr>
            <w:tcW w:type="dxa" w:w="2000"/>
            <w:tcMar>
              <w:top w:type="dxa" w:w="60"/>
              <w:left w:type="dxa" w:w="100"/>
              <w:bottom w:type="dxa" w:w="60"/>
              <w:right w:type="dxa" w:w="100"/>
            </w:tcMar>
          </w:tcPr>
          <w:p/>
        </w:tc>
        <w:tc>
          <w:tcPr>
            <w:tcW w:type="dxa" w:w="1500"/>
            <w:tcMar>
              <w:top w:type="dxa" w:w="60"/>
              <w:left w:type="dxa" w:w="100"/>
              <w:bottom w:type="dxa" w:w="60"/>
              <w:right w:type="dxa" w:w="100"/>
            </w:tcMar>
          </w:tcPr>
          <w:p/>
        </w:tc>
        <w:tc>
          <w:tcPr>
            <w:tcW w:type="dxa" w:w="1000"/>
            <w:tcMar>
              <w:top w:type="dxa" w:w="60"/>
              <w:left w:type="dxa" w:w="100"/>
              <w:bottom w:type="dxa" w:w="60"/>
              <w:right w:type="dxa" w:w="100"/>
            </w:tcMar>
          </w:tcPr>
          <w:p/>
        </w:tc>
        <w:tc>
          <w:tcPr>
            <w:tcW w:type="dxa" w:w="9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2050"/>
            <w:tcMar>
              <w:top w:type="dxa" w:w="60"/>
              <w:left w:type="dxa" w:w="100"/>
              <w:bottom w:type="dxa" w:w="60"/>
              <w:right w:type="dxa" w:w="100"/>
            </w:tcMar>
          </w:tcPr>
          <w:p/>
        </w:tc>
      </w:tr>
      <w:tr>
        <w:trPr>
          <w:trHeight w:val="420" w:hRule="atLeast"/>
        </w:trPr>
        <w:tc>
          <w:tcPr>
            <w:tcW w:type="dxa" w:w="2000"/>
            <w:tcMar>
              <w:top w:type="dxa" w:w="60"/>
              <w:left w:type="dxa" w:w="100"/>
              <w:bottom w:type="dxa" w:w="60"/>
              <w:right w:type="dxa" w:w="100"/>
            </w:tcMar>
          </w:tcPr>
          <w:p/>
        </w:tc>
        <w:tc>
          <w:tcPr>
            <w:tcW w:type="dxa" w:w="1500"/>
            <w:tcMar>
              <w:top w:type="dxa" w:w="60"/>
              <w:left w:type="dxa" w:w="100"/>
              <w:bottom w:type="dxa" w:w="60"/>
              <w:right w:type="dxa" w:w="100"/>
            </w:tcMar>
          </w:tcPr>
          <w:p/>
        </w:tc>
        <w:tc>
          <w:tcPr>
            <w:tcW w:type="dxa" w:w="1000"/>
            <w:tcMar>
              <w:top w:type="dxa" w:w="60"/>
              <w:left w:type="dxa" w:w="100"/>
              <w:bottom w:type="dxa" w:w="60"/>
              <w:right w:type="dxa" w:w="100"/>
            </w:tcMar>
          </w:tcPr>
          <w:p/>
        </w:tc>
        <w:tc>
          <w:tcPr>
            <w:tcW w:type="dxa" w:w="9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2050"/>
            <w:tcMar>
              <w:top w:type="dxa" w:w="60"/>
              <w:left w:type="dxa" w:w="100"/>
              <w:bottom w:type="dxa" w:w="60"/>
              <w:right w:type="dxa" w:w="100"/>
            </w:tcMar>
          </w:tcPr>
          <w:p/>
        </w:tc>
      </w:tr>
      <w:tr>
        <w:trPr>
          <w:trHeight w:val="420" w:hRule="atLeast"/>
        </w:trPr>
        <w:tc>
          <w:tcPr>
            <w:tcW w:type="dxa" w:w="2000"/>
            <w:tcMar>
              <w:top w:type="dxa" w:w="60"/>
              <w:left w:type="dxa" w:w="100"/>
              <w:bottom w:type="dxa" w:w="60"/>
              <w:right w:type="dxa" w:w="100"/>
            </w:tcMar>
          </w:tcPr>
          <w:p/>
        </w:tc>
        <w:tc>
          <w:tcPr>
            <w:tcW w:type="dxa" w:w="1500"/>
            <w:tcMar>
              <w:top w:type="dxa" w:w="60"/>
              <w:left w:type="dxa" w:w="100"/>
              <w:bottom w:type="dxa" w:w="60"/>
              <w:right w:type="dxa" w:w="100"/>
            </w:tcMar>
          </w:tcPr>
          <w:p/>
        </w:tc>
        <w:tc>
          <w:tcPr>
            <w:tcW w:type="dxa" w:w="1000"/>
            <w:tcMar>
              <w:top w:type="dxa" w:w="60"/>
              <w:left w:type="dxa" w:w="100"/>
              <w:bottom w:type="dxa" w:w="60"/>
              <w:right w:type="dxa" w:w="100"/>
            </w:tcMar>
          </w:tcPr>
          <w:p/>
        </w:tc>
        <w:tc>
          <w:tcPr>
            <w:tcW w:type="dxa" w:w="9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2050"/>
            <w:tcMar>
              <w:top w:type="dxa" w:w="60"/>
              <w:left w:type="dxa" w:w="100"/>
              <w:bottom w:type="dxa" w:w="60"/>
              <w:right w:type="dxa" w:w="100"/>
            </w:tcMar>
          </w:tcPr>
          <w:p/>
        </w:tc>
      </w:tr>
      <w:tr>
        <w:trPr>
          <w:trHeight w:val="420" w:hRule="atLeast"/>
        </w:trPr>
        <w:tc>
          <w:tcPr>
            <w:tcW w:type="dxa" w:w="2000"/>
            <w:tcMar>
              <w:top w:type="dxa" w:w="60"/>
              <w:left w:type="dxa" w:w="100"/>
              <w:bottom w:type="dxa" w:w="60"/>
              <w:right w:type="dxa" w:w="100"/>
            </w:tcMar>
          </w:tcPr>
          <w:p/>
        </w:tc>
        <w:tc>
          <w:tcPr>
            <w:tcW w:type="dxa" w:w="1500"/>
            <w:tcMar>
              <w:top w:type="dxa" w:w="60"/>
              <w:left w:type="dxa" w:w="100"/>
              <w:bottom w:type="dxa" w:w="60"/>
              <w:right w:type="dxa" w:w="100"/>
            </w:tcMar>
          </w:tcPr>
          <w:p/>
        </w:tc>
        <w:tc>
          <w:tcPr>
            <w:tcW w:type="dxa" w:w="1000"/>
            <w:tcMar>
              <w:top w:type="dxa" w:w="60"/>
              <w:left w:type="dxa" w:w="100"/>
              <w:bottom w:type="dxa" w:w="60"/>
              <w:right w:type="dxa" w:w="100"/>
            </w:tcMar>
          </w:tcPr>
          <w:p/>
        </w:tc>
        <w:tc>
          <w:tcPr>
            <w:tcW w:type="dxa" w:w="9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2050"/>
            <w:tcMar>
              <w:top w:type="dxa" w:w="60"/>
              <w:left w:type="dxa" w:w="100"/>
              <w:bottom w:type="dxa" w:w="60"/>
              <w:right w:type="dxa" w:w="100"/>
            </w:tcMar>
          </w:tcPr>
          <w:p/>
        </w:tc>
      </w:tr>
      <w:tr>
        <w:trPr>
          <w:trHeight w:val="420" w:hRule="atLeast"/>
        </w:trPr>
        <w:tc>
          <w:tcPr>
            <w:tcW w:type="dxa" w:w="2000"/>
            <w:tcMar>
              <w:top w:type="dxa" w:w="60"/>
              <w:left w:type="dxa" w:w="100"/>
              <w:bottom w:type="dxa" w:w="60"/>
              <w:right w:type="dxa" w:w="100"/>
            </w:tcMar>
          </w:tcPr>
          <w:p/>
        </w:tc>
        <w:tc>
          <w:tcPr>
            <w:tcW w:type="dxa" w:w="1500"/>
            <w:tcMar>
              <w:top w:type="dxa" w:w="60"/>
              <w:left w:type="dxa" w:w="100"/>
              <w:bottom w:type="dxa" w:w="60"/>
              <w:right w:type="dxa" w:w="100"/>
            </w:tcMar>
          </w:tcPr>
          <w:p/>
        </w:tc>
        <w:tc>
          <w:tcPr>
            <w:tcW w:type="dxa" w:w="1000"/>
            <w:tcMar>
              <w:top w:type="dxa" w:w="60"/>
              <w:left w:type="dxa" w:w="100"/>
              <w:bottom w:type="dxa" w:w="60"/>
              <w:right w:type="dxa" w:w="100"/>
            </w:tcMar>
          </w:tcPr>
          <w:p/>
        </w:tc>
        <w:tc>
          <w:tcPr>
            <w:tcW w:type="dxa" w:w="9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1050"/>
            <w:tcMar>
              <w:top w:type="dxa" w:w="60"/>
              <w:left w:type="dxa" w:w="100"/>
              <w:bottom w:type="dxa" w:w="60"/>
              <w:right w:type="dxa" w:w="100"/>
            </w:tcMar>
          </w:tcPr>
          <w:p/>
        </w:tc>
        <w:tc>
          <w:tcPr>
            <w:tcW w:type="dxa" w:w="2050"/>
            <w:tcMar>
              <w:top w:type="dxa" w:w="60"/>
              <w:left w:type="dxa" w:w="100"/>
              <w:bottom w:type="dxa" w:w="60"/>
              <w:right w:type="dxa" w:w="100"/>
            </w:tcMar>
          </w:tcPr>
          <w:p/>
        </w:tc>
      </w:tr>
    </w:tbl>
    <w:p>
      <w:pPr>
        <w:spacing w:after="60" w:before="200"/>
      </w:pPr>
      <w:r>
        <w:rPr>
          <w:rFonts w:ascii="Calibri" w:cs="Calibri" w:eastAsia="Calibri" w:hAnsi="Calibri"/>
          <w:b/>
          <w:bCs/>
          <w:color w:val="4A5460"/>
          <w:sz w:val="19"/>
          <w:szCs w:val="19"/>
        </w:rPr>
        <w:t xml:space="preserve">Conflicts of interest declared — who, and what the interest is.</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p>
      <w:pPr>
        <w:spacing w:after="60" w:before="200"/>
      </w:pPr>
      <w:r>
        <w:rPr>
          <w:rFonts w:ascii="Calibri" w:cs="Calibri" w:eastAsia="Calibri" w:hAnsi="Calibri"/>
          <w:b/>
          <w:bCs/>
          <w:color w:val="4A5460"/>
          <w:sz w:val="19"/>
          <w:szCs w:val="19"/>
        </w:rPr>
        <w:t xml:space="preserve">Reasons for the decision — required. A decision without written reasons is not one this scheme records. “As discussed” is not a reason.</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Eligible to vote after exclusions</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Majority required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Votes in favour</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Did the decision carry?</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Yes  /  No</w:t>
            </w:r>
          </w:p>
        </w:tc>
      </w:tr>
    </w:tbl>
    <w:p>
      <w:pPr>
        <w:spacing w:after="200"/>
      </w:pPr>
    </w:p>
    <w:tbl>
      <w:tblPr>
        <w:tblW w:type="pct" w:w="100%"/>
        <w:tblBorders>
          <w:top w:val="single" w:color="14181D" w:sz="12"/>
          <w:left w:val="none" w:color="FFFFFF" w:sz="0"/>
          <w:bottom w:val="none" w:color="FFFFFF" w:sz="0"/>
          <w:right w:val="none" w:color="FFFFFF" w:sz="0"/>
          <w:insideH w:val="single" w:color="auto" w:sz="4"/>
          <w:insideV w:val="single" w:color="auto" w:sz="4"/>
        </w:tblBorders>
      </w:tblPr>
      <w:tblGrid>
        <w:gridCol w:w="100"/>
        <w:gridCol w:w="100"/>
      </w:tblGrid>
      <w:tr>
        <w:trPr>
          <w:trHeight w:val="700" w:hRule="atLeast"/>
        </w:trPr>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Recorded by</w:t>
            </w:r>
          </w:p>
        </w:tc>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Signature and date</w:t>
            </w:r>
          </w:p>
        </w:tc>
      </w:tr>
    </w:tbl>
    <w:p>
      <w:pPr>
        <w:spacing w:after="0" w:before="0" w:line="20"/>
      </w:pPr>
      <w:r>
        <w:rPr>
          <w:sz w:val="2"/>
          <w:szCs w:val="2"/>
        </w:rPr>
        <w:t xml:space="preserve"/>
      </w:r>
    </w:p>
    <w:p>
      <w:pPr>
        <w:pageBreakBefore/>
        <w:spacing w:after="0"/>
      </w:pPr>
    </w:p>
    <w:tbl>
      <w:tblPr>
        <w:tblW w:type="pct" w:w="100%"/>
        <w:tblBorders>
          <w:top w:val="none" w:color="FFFFFF" w:sz="0"/>
          <w:left w:val="none" w:color="FFFFFF" w:sz="0"/>
          <w:bottom w:val="single" w:color="14181D" w:sz="12"/>
          <w:right w:val="none" w:color="FFFFFF" w:sz="0"/>
          <w:insideH w:val="single" w:color="auto" w:sz="4"/>
          <w:insideV w:val="single" w:color="auto" w:sz="4"/>
        </w:tblBorders>
      </w:tblPr>
      <w:tblGrid>
        <w:gridCol w:w="7600"/>
        <w:gridCol w:w="2000"/>
      </w:tblGrid>
      <w:tr>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r>
              <w:rPr>
                <w:rFonts w:ascii="Cambria" w:cs="Cambria" w:eastAsia="Cambria" w:hAnsi="Cambria"/>
                <w:b/>
                <w:bCs/>
                <w:color w:val="14181D"/>
                <w:sz w:val="32"/>
                <w:szCs w:val="32"/>
              </w:rPr>
              <w:t xml:space="preserve">Tow authorisation checklist</w:t>
            </w:r>
          </w:p>
        </w:tc>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pPr>
              <w:jc w:val="right"/>
            </w:pPr>
            <w:r>
              <w:rPr>
                <w:rFonts w:ascii="Calibri" w:cs="Calibri" w:eastAsia="Calibri" w:hAnsi="Calibri"/>
                <w:b/>
                <w:bCs/>
                <w:color w:val="1F4E79"/>
                <w:spacing w:val="30"/>
                <w:sz w:val="20"/>
                <w:szCs w:val="20"/>
              </w:rPr>
              <w:t xml:space="preserve">FORM E</w:t>
            </w:r>
          </w:p>
        </w:tc>
      </w:tr>
    </w:tbl>
    <w:p>
      <w:pPr>
        <w:spacing w:after="20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b/>
                <w:bCs/>
                <w:color w:val="9C2020"/>
                <w:sz w:val="21"/>
                <w:szCs w:val="21"/>
              </w:rPr>
              <w:t xml:space="preserve">Attach Form D. Both are required. Neither is sufficient alone.</w:t>
            </w:r>
          </w:p>
          <w:p>
            <w:pPr>
              <w:spacing w:after="0" w:line="264"/>
            </w:pPr>
            <w:r>
              <w:rPr>
                <w:rFonts w:ascii="Calibri" w:cs="Calibri" w:eastAsia="Calibri" w:hAnsi="Calibri"/>
                <w:color w:val="9C2020"/>
                <w:sz w:val="21"/>
                <w:szCs w:val="21"/>
              </w:rPr>
              <w:t xml:space="preserve">A tow carried out without proper authorisation exposes the Body Corporate to claims and indemnity liability. The onsite manager has neither the legal authority nor the insurance cover to instruct one.</w:t>
            </w:r>
          </w:p>
        </w:tc>
      </w:tr>
    </w:tbl>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Incident reference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and state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Where the vehicle is (be specific)</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Contractor — primary contractor only</w:t>
            </w:r>
          </w:p>
        </w:tc>
        <w:tc>
          <w:tcPr>
            <w:tcW w:type="dxa" w:w="6000"/>
            <w:tcMar>
              <w:top w:type="dxa" w:w="60"/>
              <w:left w:type="dxa" w:w="120"/>
              <w:bottom w:type="dxa" w:w="60"/>
              <w:right w:type="dxa" w:w="120"/>
            </w:tcMar>
            <w:vAlign w:val="center"/>
          </w:tcPr>
          <w:p/>
        </w:tc>
      </w:tr>
    </w:tbl>
    <w:p>
      <w:pPr>
        <w:spacing w:after="80" w:before="240"/>
      </w:pPr>
      <w:r>
        <w:rPr>
          <w:rFonts w:ascii="Calibri" w:cs="Calibri" w:eastAsia="Calibri" w:hAnsi="Calibri"/>
          <w:b/>
          <w:bCs/>
          <w:color w:val="4A5460"/>
          <w:spacing w:val="20"/>
          <w:sz w:val="16"/>
          <w:szCs w:val="16"/>
        </w:rPr>
        <w:t xml:space="preserve">ANSWER EVERY LINE</w:t>
      </w:r>
    </w:p>
    <w:p>
      <w:pPr>
        <w:spacing w:after="120" w:line="264"/>
      </w:pPr>
      <w:r>
        <w:rPr>
          <w:rFonts w:ascii="Calibri" w:cs="Calibri" w:eastAsia="Calibri" w:hAnsi="Calibri"/>
          <w:color w:val="4A5460"/>
          <w:sz w:val="19"/>
          <w:szCs w:val="19"/>
        </w:rPr>
        <w:t xml:space="preserve">An unticked box is a recorded “no”. The Committee may still proceed, and the file will show what it proceeded without.</w:t>
      </w:r>
    </w:p>
    <w:p>
      <w:pPr>
        <w:spacing w:after="120" w:line="264"/>
      </w:pPr>
      <w:r>
        <w:rPr>
          <w:rFonts w:ascii="Calibri" w:cs="Calibri" w:eastAsia="Calibri" w:hAnsi="Calibri"/>
          <w:b/>
          <w:bCs/>
          <w:color w:val="4A5460"/>
          <w:sz w:val="19"/>
          <w:szCs w:val="19"/>
        </w:rPr>
        <w:t xml:space="preserve">Signage</w:t>
      </w:r>
      <w:r>
        <w:rPr>
          <w:rFonts w:ascii="Calibri" w:cs="Calibri" w:eastAsia="Calibri" w:hAnsi="Calibri"/>
          <w:color w:val="4A5460"/>
          <w:sz w:val="19"/>
          <w:szCs w:val="19"/>
        </w:rPr>
        <w:t xml:space="preserve"> — tick each element separately. One box covering nine requirements hides which one is missing, and the missing one is what a challenge is built on.</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Standing 24+ hours before the contravention</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A sign visible to motorists at the entry</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States what the parking is for</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States that unauthorised vehicles will be towed at the owner’s expense</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States the permitted times, </w:t>
      </w:r>
      <w:r>
        <w:rPr>
          <w:rFonts w:ascii="Calibri" w:cs="Calibri" w:eastAsia="Calibri" w:hAnsi="Calibri"/>
          <w:b/>
          <w:bCs/>
          <w:color w:val="14181D"/>
          <w:sz w:val="20"/>
          <w:szCs w:val="20"/>
        </w:rPr>
        <w:t xml:space="preserve">if times apply</w:t>
      </w:r>
      <w:r>
        <w:rPr>
          <w:rFonts w:ascii="Calibri" w:cs="Calibri" w:eastAsia="Calibri" w:hAnsi="Calibri"/>
          <w:color w:val="14181D"/>
          <w:sz w:val="20"/>
          <w:szCs w:val="20"/>
        </w:rPr>
        <w:t xml:space="preserve"> — a restriction on who may park rather than for how long does not need them</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Names the contractor and a contact number</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States the charge — the maximum for towing and storage, or the minimum inclusive of GST with carriage and storage noted as extra where the total varies</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States the minimum cost, inclusive of GST</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At least 300mm x 400mm</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Towing contract with the primary contractor is current</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Private property towing consent is current</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Contractor’s tow truck licence number is recorded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Vehicle confirmed present </w:t>
      </w:r>
      <w:r>
        <w:rPr>
          <w:rFonts w:ascii="Calibri" w:cs="Calibri" w:eastAsia="Calibri" w:hAnsi="Calibri"/>
          <w:b/>
          <w:bCs/>
          <w:color w:val="14181D"/>
          <w:sz w:val="20"/>
          <w:szCs w:val="20"/>
        </w:rPr>
        <w:t xml:space="preserve">within the last 2 hours</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Register and visitor approvals re-checked — </w:t>
      </w:r>
      <w:r>
        <w:rPr>
          <w:rFonts w:ascii="Calibri" w:cs="Calibri" w:eastAsia="Calibri" w:hAnsi="Calibri"/>
          <w:b/>
          <w:bCs/>
          <w:color w:val="14181D"/>
          <w:sz w:val="20"/>
          <w:szCs w:val="20"/>
        </w:rPr>
        <w:t xml:space="preserve">no approval in force</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Both warnings issued, or the urgent path justified below</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Representations from the resident considered and answered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The person who will telephone is named in the towing agreement as authorised</w:t>
      </w:r>
    </w:p>
    <w:p>
      <w:pP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Conflicts of interest declared and managed</w:t>
      </w:r>
    </w:p>
    <w:p>
      <w:pPr>
        <w:spacing w:after="16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0" w:line="264"/>
            </w:pPr>
            <w:r>
              <w:rPr>
                <w:rFonts w:ascii="Calibri" w:cs="Calibri" w:eastAsia="Calibri" w:hAnsi="Calibri"/>
                <w:b/>
                <w:bCs/>
                <w:color w:val="9C2020"/>
                <w:sz w:val="21"/>
                <w:szCs w:val="21"/>
              </w:rPr>
              <w:t xml:space="preserve">If a visitor approval is in force, stop.</w:t>
            </w:r>
            <w:r>
              <w:rPr>
                <w:rFonts w:ascii="Calibri" w:cs="Calibri" w:eastAsia="Calibri" w:hAnsi="Calibri"/>
                <w:color w:val="9C2020"/>
                <w:sz w:val="21"/>
                <w:szCs w:val="21"/>
              </w:rPr>
              <w:t xml:space="preserve"> That vehicle has permission to be parked, and towing it would be wrongful.</w:t>
            </w:r>
          </w:p>
        </w:tc>
      </w:tr>
    </w:tbl>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By-law relied upon</w:t>
            </w:r>
          </w:p>
        </w:tc>
        <w:tc>
          <w:tcPr>
            <w:tcW w:type="dxa" w:w="6000"/>
            <w:tcMar>
              <w:top w:type="dxa" w:w="60"/>
              <w:left w:type="dxa" w:w="120"/>
              <w:bottom w:type="dxa" w:w="60"/>
              <w:right w:type="dxa" w:w="120"/>
            </w:tcMar>
            <w:vAlign w:val="center"/>
          </w:tcPr>
          <w:p/>
        </w:tc>
      </w:tr>
    </w:tbl>
    <w:p>
      <w:pPr>
        <w:spacing w:after="60" w:before="200"/>
      </w:pPr>
      <w:r>
        <w:rPr>
          <w:rFonts w:ascii="Calibri" w:cs="Calibri" w:eastAsia="Calibri" w:hAnsi="Calibri"/>
          <w:b/>
          <w:bCs/>
          <w:color w:val="4A5460"/>
          <w:sz w:val="19"/>
          <w:szCs w:val="19"/>
        </w:rPr>
        <w:t xml:space="preserve">Why towing is a reasonable response in this case — the question a court asks first. Do not copy wording from a previous form.</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p>
      <w:pPr>
        <w:spacing w:after="60" w:before="200"/>
      </w:pPr>
      <w:r>
        <w:rPr>
          <w:rFonts w:ascii="Calibri" w:cs="Calibri" w:eastAsia="Calibri" w:hAnsi="Calibri"/>
          <w:b/>
          <w:bCs/>
          <w:color w:val="4A5460"/>
          <w:sz w:val="19"/>
          <w:szCs w:val="19"/>
        </w:rPr>
        <w:t xml:space="preserve">Less intrusive options considered, and why they were rejected. If none were considered, write that.</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p>
      <w:pPr>
        <w:spacing w:after="60" w:before="200"/>
      </w:pPr>
      <w:r>
        <w:rPr>
          <w:rFonts w:ascii="Calibri" w:cs="Calibri" w:eastAsia="Calibri" w:hAnsi="Calibri"/>
          <w:b/>
          <w:bCs/>
          <w:color w:val="4A5460"/>
          <w:sz w:val="19"/>
          <w:szCs w:val="19"/>
        </w:rPr>
        <w:t xml:space="preserve">If the warning sequence was not followed, why.</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Authority signed — date and time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Earliest time it may be transmitted</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signed + 30 minutes</w:t>
            </w: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Expires</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signed + 48 hours</w:t>
            </w: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Committee members signing</w:t>
            </w:r>
          </w:p>
        </w:tc>
        <w:tc>
          <w:tcPr>
            <w:tcW w:type="dxa" w:w="6000"/>
            <w:tcMar>
              <w:top w:type="dxa" w:w="60"/>
              <w:left w:type="dxa" w:w="120"/>
              <w:bottom w:type="dxa" w:w="60"/>
              <w:right w:type="dxa" w:w="120"/>
            </w:tcMar>
            <w:vAlign w:val="center"/>
          </w:tcPr>
          <w:p>
            <w:r>
              <w:rPr>
                <w:rFonts w:ascii="Calibri" w:cs="Calibri" w:eastAsia="Calibri" w:hAnsi="Calibri"/>
                <w:color w:val="4A5460"/>
                <w:sz w:val="19"/>
                <w:szCs w:val="19"/>
              </w:rPr>
              <w:t xml:space="preserve">at least two recorded in favour on Form D</w:t>
            </w:r>
          </w:p>
        </w:tc>
      </w:tr>
    </w:tbl>
    <w:p>
      <w:pPr>
        <w:spacing w:after="80" w:before="240"/>
      </w:pPr>
      <w:r>
        <w:rPr>
          <w:rFonts w:ascii="Calibri" w:cs="Calibri" w:eastAsia="Calibri" w:hAnsi="Calibri"/>
          <w:b/>
          <w:bCs/>
          <w:color w:val="4A5460"/>
          <w:spacing w:val="20"/>
          <w:sz w:val="16"/>
          <w:szCs w:val="16"/>
        </w:rPr>
        <w:t xml:space="preserve">TRANSMISSION — COMPLETED BY THE PERSON WHO TELEPHONES</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Time telephoned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Contractor and person spoken to</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My basis as an authorised contact under the agreement</w:t>
            </w:r>
          </w:p>
        </w:tc>
        <w:tc>
          <w:tcPr>
            <w:tcW w:type="dxa" w:w="6000"/>
            <w:tcMar>
              <w:top w:type="dxa" w:w="60"/>
              <w:left w:type="dxa" w:w="120"/>
              <w:bottom w:type="dxa" w:w="60"/>
              <w:right w:type="dxa" w:w="120"/>
            </w:tcMar>
            <w:vAlign w:val="center"/>
          </w:tcPr>
          <w:p/>
        </w:tc>
      </w:tr>
    </w:tbl>
    <w:p>
      <w:pPr>
        <w:spacing w:after="160"/>
      </w:pPr>
    </w:p>
    <w:p>
      <w:pP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I am conveying a decision the Committee has already made. I am not making one.</w:t>
      </w:r>
    </w:p>
    <w:p>
      <w:pPr>
        <w:spacing w:after="200"/>
      </w:pPr>
    </w:p>
    <w:tbl>
      <w:tblPr>
        <w:tblW w:type="pct" w:w="100%"/>
        <w:tblBorders>
          <w:top w:val="single" w:color="14181D" w:sz="12"/>
          <w:left w:val="none" w:color="FFFFFF" w:sz="0"/>
          <w:bottom w:val="none" w:color="FFFFFF" w:sz="0"/>
          <w:right w:val="none" w:color="FFFFFF" w:sz="0"/>
          <w:insideH w:val="single" w:color="auto" w:sz="4"/>
          <w:insideV w:val="single" w:color="auto" w:sz="4"/>
        </w:tblBorders>
      </w:tblPr>
      <w:tblGrid>
        <w:gridCol w:w="100"/>
        <w:gridCol w:w="100"/>
      </w:tblGrid>
      <w:tr>
        <w:trPr>
          <w:trHeight w:val="700" w:hRule="atLeast"/>
        </w:trPr>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Name</w:t>
            </w:r>
          </w:p>
        </w:tc>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Signature and date</w:t>
            </w:r>
          </w:p>
        </w:tc>
      </w:tr>
    </w:tbl>
    <w:p>
      <w:pPr>
        <w:spacing w:after="0" w:before="0" w:line="20"/>
      </w:pPr>
      <w:r>
        <w:rPr>
          <w:sz w:val="2"/>
          <w:szCs w:val="2"/>
        </w:rPr>
        <w:t xml:space="preserve"/>
      </w:r>
    </w:p>
    <w:p>
      <w:pPr>
        <w:pageBreakBefore/>
        <w:spacing w:after="0"/>
      </w:pPr>
    </w:p>
    <w:tbl>
      <w:tblPr>
        <w:tblW w:type="pct" w:w="100%"/>
        <w:tblBorders>
          <w:top w:val="none" w:color="FFFFFF" w:sz="0"/>
          <w:left w:val="none" w:color="FFFFFF" w:sz="0"/>
          <w:bottom w:val="single" w:color="14181D" w:sz="12"/>
          <w:right w:val="none" w:color="FFFFFF" w:sz="0"/>
          <w:insideH w:val="single" w:color="auto" w:sz="4"/>
          <w:insideV w:val="single" w:color="auto" w:sz="4"/>
        </w:tblBorders>
      </w:tblPr>
      <w:tblGrid>
        <w:gridCol w:w="7600"/>
        <w:gridCol w:w="2000"/>
      </w:tblGrid>
      <w:tr>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r>
              <w:rPr>
                <w:rFonts w:ascii="Cambria" w:cs="Cambria" w:eastAsia="Cambria" w:hAnsi="Cambria"/>
                <w:b/>
                <w:bCs/>
                <w:color w:val="14181D"/>
                <w:sz w:val="32"/>
                <w:szCs w:val="32"/>
              </w:rPr>
              <w:t xml:space="preserve">Stand down — stop a tow already called</w:t>
            </w:r>
          </w:p>
        </w:tc>
        <w:tc>
          <w:tcPr>
            <w:tcBorders>
              <w:top w:val="none" w:color="FFFFFF" w:sz="0"/>
              <w:left w:val="none" w:color="FFFFFF" w:sz="0"/>
              <w:bottom w:val="none" w:color="FFFFFF" w:sz="0"/>
              <w:right w:val="none" w:color="FFFFFF" w:sz="0"/>
            </w:tcBorders>
            <w:tcMar>
              <w:top w:type="dxa" w:w="0"/>
              <w:left w:type="dxa" w:w="0"/>
              <w:bottom w:type="dxa" w:w="120"/>
              <w:right w:type="dxa" w:w="0"/>
            </w:tcMar>
            <w:vAlign w:val="bottom"/>
          </w:tcPr>
          <w:p>
            <w:pPr>
              <w:jc w:val="right"/>
            </w:pPr>
            <w:r>
              <w:rPr>
                <w:rFonts w:ascii="Calibri" w:cs="Calibri" w:eastAsia="Calibri" w:hAnsi="Calibri"/>
                <w:b/>
                <w:bCs/>
                <w:color w:val="1F4E79"/>
                <w:spacing w:val="30"/>
                <w:sz w:val="20"/>
                <w:szCs w:val="20"/>
              </w:rPr>
              <w:t xml:space="preserve">FORM F</w:t>
            </w:r>
          </w:p>
        </w:tc>
      </w:tr>
    </w:tbl>
    <w:p>
      <w:pPr>
        <w:spacing w:after="20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b/>
                <w:bCs/>
                <w:color w:val="9C2020"/>
                <w:sz w:val="21"/>
                <w:szCs w:val="21"/>
              </w:rPr>
              <w:t xml:space="preserve">Telephone the contractor first. Fill this in afterwards.</w:t>
            </w:r>
          </w:p>
          <w:p>
            <w:pPr>
              <w:spacing w:after="0" w:line="264"/>
            </w:pPr>
            <w:r>
              <w:rPr>
                <w:rFonts w:ascii="Calibri" w:cs="Calibri" w:eastAsia="Calibri" w:hAnsi="Calibri"/>
                <w:color w:val="9C2020"/>
                <w:sz w:val="21"/>
                <w:szCs w:val="21"/>
              </w:rPr>
              <w:t xml:space="preserve">The vehicle leaving does not decide whether it could lawfully have been towed. It decides that no truck should attend now. Stopping costs a call-out fee at worst; not stopping tows a vehicle whose reason for being towed has gone.</w:t>
            </w:r>
          </w:p>
        </w:tc>
      </w:tr>
    </w:tbl>
    <w:p>
      <w:pPr>
        <w:spacing w:after="160"/>
      </w:pPr>
    </w:p>
    <w:p>
      <w:pPr>
        <w:spacing w:after="120" w:line="264"/>
      </w:pPr>
      <w:r>
        <w:rPr>
          <w:rFonts w:ascii="Calibri" w:cs="Calibri" w:eastAsia="Calibri" w:hAnsi="Calibri"/>
          <w:b/>
          <w:bCs/>
          <w:color w:val="14181D"/>
          <w:sz w:val="21"/>
          <w:szCs w:val="21"/>
        </w:rPr>
        <w:t xml:space="preserve">Anyone may do this.</w:t>
      </w:r>
      <w:r>
        <w:rPr>
          <w:rFonts w:ascii="Calibri" w:cs="Calibri" w:eastAsia="Calibri" w:hAnsi="Calibri"/>
          <w:color w:val="14181D"/>
          <w:sz w:val="21"/>
          <w:szCs w:val="21"/>
        </w:rPr>
        <w:t xml:space="preserve"> The onsite manager, any committee member, anybody who can see the empty bay. Stopping a tow needs less authority than starting one, and the safe direction of doubt is always “do not tow”.</w:t>
      </w:r>
    </w:p>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and state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Tow authority reference (Form 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Contractor telephoned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Time telephoned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Person spoken to</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My name and role</w:t>
            </w:r>
          </w:p>
        </w:tc>
        <w:tc>
          <w:tcPr>
            <w:tcW w:type="dxa" w:w="6000"/>
            <w:tcMar>
              <w:top w:type="dxa" w:w="60"/>
              <w:left w:type="dxa" w:w="120"/>
              <w:bottom w:type="dxa" w:w="60"/>
              <w:right w:type="dxa" w:w="120"/>
            </w:tcMar>
            <w:vAlign w:val="center"/>
          </w:tcPr>
          <w:p/>
        </w:tc>
      </w:tr>
    </w:tbl>
    <w:p>
      <w:pPr>
        <w:spacing w:after="80" w:before="240"/>
      </w:pPr>
      <w:r>
        <w:rPr>
          <w:rFonts w:ascii="Calibri" w:cs="Calibri" w:eastAsia="Calibri" w:hAnsi="Calibri"/>
          <w:b/>
          <w:bCs/>
          <w:color w:val="4A5460"/>
          <w:spacing w:val="20"/>
          <w:sz w:val="16"/>
          <w:szCs w:val="16"/>
        </w:rPr>
        <w:t xml:space="preserve">WHY THE TOW IS BEING STOPPED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The vehicle has gone</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The vehicle has been moved to a bay it is entitled to use</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An approval was found that covers it</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The registration on the authority is wrong</w:t>
      </w:r>
    </w:p>
    <w:p>
      <w:pP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Other — written below</w:t>
      </w:r>
    </w:p>
    <w:p>
      <w:pPr>
        <w:spacing w:after="60" w:before="200"/>
      </w:pPr>
      <w:r>
        <w:rPr>
          <w:rFonts w:ascii="Calibri" w:cs="Calibri" w:eastAsia="Calibri" w:hAnsi="Calibri"/>
          <w:b/>
          <w:bCs/>
          <w:color w:val="4A5460"/>
          <w:sz w:val="19"/>
          <w:szCs w:val="19"/>
        </w:rPr>
        <w:t xml:space="preserve">What changed, and how you know. “The vehicle has gone” with the time you looked is enough.</w:t>
      </w:r>
    </w:p>
    <w:p>
      <w:pPr>
        <w:pBdr>
          <w:bottom w:val="single" w:color="C9C6BE" w:sz="4" w:space="2"/>
        </w:pBdr>
        <w:spacing w:after="0" w:before="200"/>
      </w:pPr>
    </w:p>
    <w:p>
      <w:pPr>
        <w:pBdr>
          <w:bottom w:val="single" w:color="C9C6BE" w:sz="4" w:space="2"/>
        </w:pBdr>
        <w:spacing w:after="0" w:before="200"/>
      </w:pPr>
    </w:p>
    <w:p>
      <w:pPr>
        <w:pBdr>
          <w:bottom w:val="single" w:color="C9C6BE" w:sz="4" w:space="2"/>
        </w:pBdr>
        <w:spacing w:after="0" w:before="200"/>
      </w:pPr>
    </w:p>
    <w:p>
      <w:pPr>
        <w:spacing w:after="160"/>
      </w:pPr>
    </w:p>
    <w:p>
      <w:pPr>
        <w:spacing w:after="160"/>
      </w:pPr>
    </w:p>
    <w:tbl>
      <w:tblPr>
        <w:tblW w:type="pct" w:w="100%"/>
        <w:tblBorders>
          <w:top w:val="none" w:color="FFFFFF" w:sz="0"/>
          <w:left w:val="single" w:color="1F4E79" w:sz="18"/>
          <w:bottom w:val="none" w:color="FFFFFF" w:sz="0"/>
          <w:right w:val="none" w:color="FFFFFF" w:sz="0"/>
          <w:insideH w:val="single" w:color="auto" w:sz="4"/>
          <w:insideV w:val="single" w:color="auto" w:sz="4"/>
        </w:tblBorders>
      </w:tblPr>
      <w:tblGrid>
        <w:gridCol w:w="100"/>
      </w:tblGrid>
      <w:tr>
        <w:tc>
          <w:tcPr>
            <w:shd w:fill="EAF0F6" w:val="clear"/>
            <w:tcMar>
              <w:top w:type="dxa" w:w="160"/>
              <w:left w:type="dxa" w:w="200"/>
              <w:bottom w:type="dxa" w:w="160"/>
              <w:right w:type="dxa" w:w="200"/>
            </w:tcMar>
          </w:tcPr>
          <w:p>
            <w:pPr>
              <w:spacing w:after="0" w:line="264"/>
            </w:pPr>
            <w:r>
              <w:rPr>
                <w:rFonts w:ascii="Calibri" w:cs="Calibri" w:eastAsia="Calibri" w:hAnsi="Calibri"/>
                <w:b/>
                <w:bCs/>
                <w:color w:val="14181D"/>
                <w:sz w:val="21"/>
                <w:szCs w:val="21"/>
              </w:rPr>
              <w:t xml:space="preserve">This does not cancel the tow authority.</w:t>
            </w:r>
            <w:r>
              <w:rPr>
                <w:rFonts w:ascii="Calibri" w:cs="Calibri" w:eastAsia="Calibri" w:hAnsi="Calibri"/>
                <w:color w:val="14181D"/>
                <w:sz w:val="21"/>
                <w:szCs w:val="21"/>
              </w:rPr>
              <w:t xml:space="preserve"> The authority stays live until the Committee cancels it on a fresh Form D. A vehicle that returns has not become entitled to park there — but a fresh authority and a fresh Form E are needed before any truck is called again.</w:t>
            </w:r>
          </w:p>
        </w:tc>
      </w:tr>
    </w:tbl>
    <w:p>
      <w:pPr>
        <w:spacing w:after="160"/>
      </w:pPr>
    </w:p>
    <w:p>
      <w:pPr>
        <w:spacing w:after="80" w:before="240"/>
      </w:pPr>
      <w:r>
        <w:rPr>
          <w:rFonts w:ascii="Calibri" w:cs="Calibri" w:eastAsia="Calibri" w:hAnsi="Calibri"/>
          <w:b/>
          <w:bCs/>
          <w:color w:val="4A5460"/>
          <w:spacing w:val="20"/>
          <w:sz w:val="16"/>
          <w:szCs w:val="16"/>
        </w:rPr>
        <w:t xml:space="preserve">CONFIRM AFTERWARDS</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The contractor confirmed no vehicle was towed</w:t>
      </w:r>
    </w:p>
    <w:p>
      <w:pP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If a vehicle </w:t>
      </w:r>
      <w:r>
        <w:rPr>
          <w:rFonts w:ascii="Calibri" w:cs="Calibri" w:eastAsia="Calibri" w:hAnsi="Calibri"/>
          <w:b/>
          <w:bCs/>
          <w:color w:val="14181D"/>
          <w:sz w:val="20"/>
          <w:szCs w:val="20"/>
        </w:rPr>
        <w:t xml:space="preserve">was</w:t>
      </w:r>
      <w:r>
        <w:rPr>
          <w:rFonts w:ascii="Calibri" w:cs="Calibri" w:eastAsia="Calibri" w:hAnsi="Calibri"/>
          <w:color w:val="14181D"/>
          <w:sz w:val="20"/>
          <w:szCs w:val="20"/>
        </w:rPr>
        <w:t xml:space="preserve"> towed before the call reached them, the Committee has been told immediately</w:t>
      </w:r>
    </w:p>
    <w:p>
      <w:pPr>
        <w:spacing w:after="200"/>
      </w:pPr>
    </w:p>
    <w:tbl>
      <w:tblPr>
        <w:tblW w:type="pct" w:w="100%"/>
        <w:tblBorders>
          <w:top w:val="single" w:color="14181D" w:sz="12"/>
          <w:left w:val="none" w:color="FFFFFF" w:sz="0"/>
          <w:bottom w:val="none" w:color="FFFFFF" w:sz="0"/>
          <w:right w:val="none" w:color="FFFFFF" w:sz="0"/>
          <w:insideH w:val="single" w:color="auto" w:sz="4"/>
          <w:insideV w:val="single" w:color="auto" w:sz="4"/>
        </w:tblBorders>
      </w:tblPr>
      <w:tblGrid>
        <w:gridCol w:w="100"/>
        <w:gridCol w:w="100"/>
      </w:tblGrid>
      <w:tr>
        <w:trPr>
          <w:trHeight w:val="700" w:hRule="atLeast"/>
        </w:trPr>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Name</w:t>
            </w:r>
          </w:p>
        </w:tc>
        <w:tc>
          <w:tcPr>
            <w:tcBorders>
              <w:top w:val="none" w:color="FFFFFF" w:sz="0"/>
              <w:left w:val="none" w:color="FFFFFF" w:sz="0"/>
              <w:bottom w:val="none" w:color="FFFFFF" w:sz="0"/>
              <w:right w:val="none" w:color="FFFFFF" w:sz="0"/>
            </w:tcBorders>
            <w:tcMar>
              <w:top w:type="dxa" w:w="240"/>
              <w:left w:type="dxa" w:w="0"/>
              <w:bottom w:type="dxa" w:w="60"/>
              <w:right w:type="dxa" w:w="300"/>
            </w:tcMar>
            <w:vAlign w:val="bottom"/>
          </w:tcPr>
          <w:p>
            <w:pPr>
              <w:pBdr>
                <w:bottom w:val="single" w:color="4A5460" w:sz="6" w:space="2"/>
              </w:pBdr>
              <w:spacing w:after="60" w:before="300"/>
            </w:pPr>
          </w:p>
          <w:p>
            <w:r>
              <w:rPr>
                <w:rFonts w:ascii="Calibri" w:cs="Calibri" w:eastAsia="Calibri" w:hAnsi="Calibri"/>
                <w:color w:val="4A5460"/>
                <w:sz w:val="17"/>
                <w:szCs w:val="17"/>
              </w:rPr>
              <w:t xml:space="preserve">Signature and date</w:t>
            </w:r>
          </w:p>
        </w:tc>
      </w:tr>
    </w:tbl>
    <w:p>
      <w:pPr>
        <w:spacing w:after="0" w:before="0" w:line="20"/>
      </w:pPr>
      <w:r>
        <w:rPr>
          <w:sz w:val="2"/>
          <w:szCs w:val="2"/>
        </w:rPr>
        <w:t xml:space="preserve"/>
      </w:r>
    </w:p>
    <w:p>
      <w:pPr>
        <w:pageBreakBefore/>
        <w:spacing w:after="0"/>
      </w:pPr>
    </w:p>
    <w:p>
      <w:pPr>
        <w:spacing w:after="60"/>
      </w:pPr>
      <w:r>
        <w:rPr>
          <w:rFonts w:ascii="Calibri" w:cs="Calibri" w:eastAsia="Calibri" w:hAnsi="Calibri"/>
          <w:b/>
          <w:bCs/>
          <w:color w:val="1F4E79"/>
          <w:spacing w:val="30"/>
          <w:sz w:val="16"/>
          <w:szCs w:val="16"/>
        </w:rPr>
        <w:t xml:space="preserve">————————————————  (SCHEME NAME)</w:t>
      </w:r>
    </w:p>
    <w:p>
      <w:pPr>
        <w:spacing w:after="60"/>
      </w:pPr>
      <w:r>
        <w:rPr>
          <w:rFonts w:ascii="Cambria" w:cs="Cambria" w:eastAsia="Cambria" w:hAnsi="Cambria"/>
          <w:b/>
          <w:bCs/>
          <w:color w:val="14181D"/>
          <w:sz w:val="60"/>
          <w:szCs w:val="60"/>
        </w:rPr>
        <w:t xml:space="preserve">Parking notice</w:t>
      </w:r>
    </w:p>
    <w:p>
      <w:pPr>
        <w:pBdr>
          <w:bottom w:val="single" w:color="14181D" w:sz="12" w:space="8"/>
        </w:pBdr>
        <w:spacing w:after="40"/>
      </w:pPr>
      <w:r>
        <w:rPr>
          <w:rFonts w:ascii="Calibri" w:cs="Calibri" w:eastAsia="Calibri" w:hAnsi="Calibri"/>
          <w:color w:val="4A5460"/>
          <w:sz w:val="24"/>
          <w:szCs w:val="24"/>
        </w:rPr>
        <w:t xml:space="preserve">A courtesy notice about where this vehicle is parked.</w:t>
      </w:r>
    </w:p>
    <w:p>
      <w:pPr>
        <w:spacing w:after="160" w:before="60"/>
        <w:jc w:val="right"/>
      </w:pPr>
      <w:r>
        <w:rPr>
          <w:rFonts w:ascii="Calibri" w:cs="Calibri" w:eastAsia="Calibri" w:hAnsi="Calibri"/>
          <w:b/>
          <w:bCs/>
          <w:color w:val="1F4E79"/>
          <w:spacing w:val="30"/>
          <w:sz w:val="18"/>
          <w:szCs w:val="18"/>
        </w:rPr>
        <w:t xml:space="preserve">FORM G</w:t>
      </w:r>
    </w:p>
    <w:tbl>
      <w:tblPr>
        <w:tblW w:type="pct" w:w="100%"/>
        <w:tblBorders>
          <w:top w:val="none" w:color="FFFFFF" w:sz="0"/>
          <w:left w:val="single" w:color="9A7A20" w:sz="18"/>
          <w:bottom w:val="none" w:color="FFFFFF" w:sz="0"/>
          <w:right w:val="none" w:color="FFFFFF" w:sz="0"/>
          <w:insideH w:val="single" w:color="auto" w:sz="4"/>
          <w:insideV w:val="single" w:color="auto" w:sz="4"/>
        </w:tblBorders>
      </w:tblPr>
      <w:tblGrid>
        <w:gridCol w:w="100"/>
      </w:tblGrid>
      <w:tr>
        <w:tc>
          <w:tcPr>
            <w:shd w:fill="FDF6E3" w:val="clear"/>
            <w:tcMar>
              <w:top w:type="dxa" w:w="160"/>
              <w:left w:type="dxa" w:w="200"/>
              <w:bottom w:type="dxa" w:w="160"/>
              <w:right w:type="dxa" w:w="200"/>
            </w:tcMar>
          </w:tcPr>
          <w:p>
            <w:pPr>
              <w:spacing w:after="120" w:line="264"/>
            </w:pPr>
            <w:r>
              <w:rPr>
                <w:rFonts w:ascii="Calibri" w:cs="Calibri" w:eastAsia="Calibri" w:hAnsi="Calibri"/>
                <w:b/>
                <w:bCs/>
                <w:color w:val="14181D"/>
                <w:sz w:val="21"/>
                <w:szCs w:val="21"/>
              </w:rPr>
              <w:t xml:space="preserve">This is not a fine, and nothing has been decided.</w:t>
            </w:r>
          </w:p>
          <w:p>
            <w:pPr>
              <w:spacing w:after="0" w:line="264"/>
            </w:pPr>
            <w:r>
              <w:rPr>
                <w:rFonts w:ascii="Calibri" w:cs="Calibri" w:eastAsia="Calibri" w:hAnsi="Calibri"/>
                <w:color w:val="14181D"/>
                <w:sz w:val="21"/>
                <w:szCs w:val="21"/>
              </w:rPr>
              <w:t xml:space="preserve">No penalty attaches to this notice, no time limit starts from it, and nobody has found that any rule has been broken. It is here so you know there may be a problem while there is still time to deal with it yourself.</w:t>
            </w:r>
          </w:p>
        </w:tc>
      </w:tr>
    </w:tbl>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and state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 and time this notice was placed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Bay or location</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Placed by (name)</w:t>
            </w:r>
          </w:p>
        </w:tc>
        <w:tc>
          <w:tcPr>
            <w:tcW w:type="dxa" w:w="6000"/>
            <w:tcMar>
              <w:top w:type="dxa" w:w="60"/>
              <w:left w:type="dxa" w:w="120"/>
              <w:bottom w:type="dxa" w:w="60"/>
              <w:right w:type="dxa" w:w="120"/>
            </w:tcMar>
            <w:vAlign w:val="center"/>
          </w:tcPr>
          <w:p/>
        </w:tc>
      </w:tr>
    </w:tbl>
    <w:p>
      <w:pPr>
        <w:spacing w:after="80" w:before="240"/>
      </w:pPr>
      <w:r>
        <w:rPr>
          <w:rFonts w:ascii="Calibri" w:cs="Calibri" w:eastAsia="Calibri" w:hAnsi="Calibri"/>
          <w:b/>
          <w:bCs/>
          <w:color w:val="4A5460"/>
          <w:spacing w:val="20"/>
          <w:sz w:val="16"/>
          <w:szCs w:val="16"/>
        </w:rPr>
        <w:t xml:space="preserve">WHY THIS NOTICE IS ON YOUR VEHICLE</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This is a </w:t>
      </w:r>
      <w:r>
        <w:rPr>
          <w:rFonts w:ascii="Calibri" w:cs="Calibri" w:eastAsia="Calibri" w:hAnsi="Calibri"/>
          <w:b/>
          <w:bCs/>
          <w:color w:val="14181D"/>
          <w:sz w:val="20"/>
          <w:szCs w:val="20"/>
        </w:rPr>
        <w:t xml:space="preserve">visitor bay</w:t>
      </w:r>
      <w:r>
        <w:rPr>
          <w:rFonts w:ascii="Calibri" w:cs="Calibri" w:eastAsia="Calibri" w:hAnsi="Calibri"/>
          <w:color w:val="14181D"/>
          <w:sz w:val="20"/>
          <w:szCs w:val="20"/>
        </w:rPr>
        <w:t xml:space="preserve">, and the 24 hours a visitor is allowed appears to have passed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This is a </w:t>
      </w:r>
      <w:r>
        <w:rPr>
          <w:rFonts w:ascii="Calibri" w:cs="Calibri" w:eastAsia="Calibri" w:hAnsi="Calibri"/>
          <w:b/>
          <w:bCs/>
          <w:color w:val="14181D"/>
          <w:sz w:val="20"/>
          <w:szCs w:val="20"/>
        </w:rPr>
        <w:t xml:space="preserve">visitor bay</w:t>
      </w:r>
      <w:r>
        <w:rPr>
          <w:rFonts w:ascii="Calibri" w:cs="Calibri" w:eastAsia="Calibri" w:hAnsi="Calibri"/>
          <w:color w:val="14181D"/>
          <w:sz w:val="20"/>
          <w:szCs w:val="20"/>
        </w:rPr>
        <w:t xml:space="preserve">, and this vehicle appears to belong to a resident rather than a visitor</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This bay is </w:t>
      </w:r>
      <w:r>
        <w:rPr>
          <w:rFonts w:ascii="Calibri" w:cs="Calibri" w:eastAsia="Calibri" w:hAnsi="Calibri"/>
          <w:b/>
          <w:bCs/>
          <w:color w:val="14181D"/>
          <w:sz w:val="20"/>
          <w:szCs w:val="20"/>
        </w:rPr>
        <w:t xml:space="preserve">allocated to a particular lot</w:t>
      </w:r>
      <w:r>
        <w:rPr>
          <w:rFonts w:ascii="Calibri" w:cs="Calibri" w:eastAsia="Calibri" w:hAnsi="Calibri"/>
          <w:color w:val="14181D"/>
          <w:sz w:val="20"/>
          <w:szCs w:val="20"/>
        </w:rPr>
        <w:t xml:space="preserve">, and this vehicle does not appear to belong to it</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This vehicle is </w:t>
      </w:r>
      <w:r>
        <w:rPr>
          <w:rFonts w:ascii="Calibri" w:cs="Calibri" w:eastAsia="Calibri" w:hAnsi="Calibri"/>
          <w:b/>
          <w:bCs/>
          <w:color w:val="14181D"/>
          <w:sz w:val="20"/>
          <w:szCs w:val="20"/>
        </w:rPr>
        <w:t xml:space="preserve">obstructing</w:t>
      </w:r>
      <w:r>
        <w:rPr>
          <w:rFonts w:ascii="Calibri" w:cs="Calibri" w:eastAsia="Calibri" w:hAnsi="Calibri"/>
          <w:color w:val="14181D"/>
          <w:sz w:val="20"/>
          <w:szCs w:val="20"/>
        </w:rPr>
        <w:t xml:space="preserve"> access, a bin area, a fire exit or another bay</w:t>
      </w:r>
    </w:p>
    <w:p>
      <w:pP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Other — written here</w:t>
      </w:r>
    </w:p>
    <w:p>
      <w:pPr>
        <w:spacing w:after="60" w:before="200"/>
      </w:pPr>
    </w:p>
    <w:p>
      <w:pPr>
        <w:pBdr>
          <w:bottom w:val="single" w:color="C9C6BE" w:sz="4" w:space="2"/>
        </w:pBdr>
        <w:spacing w:after="0" w:before="200"/>
      </w:pPr>
    </w:p>
    <w:p>
      <w:pPr>
        <w:pBdr>
          <w:bottom w:val="single" w:color="C9C6BE" w:sz="4" w:space="2"/>
        </w:pBdr>
        <w:spacing w:after="0" w:before="200"/>
      </w:pPr>
    </w:p>
    <w:p>
      <w:pPr>
        <w:spacing w:after="160"/>
      </w:pPr>
    </w:p>
    <w:p>
      <w:pPr>
        <w:spacing w:after="120"/>
      </w:pPr>
    </w:p>
    <w:p>
      <w:pPr>
        <w:spacing w:after="120" w:before="320"/>
      </w:pPr>
      <w:r>
        <w:rPr>
          <w:rFonts w:ascii="Cambria" w:cs="Cambria" w:eastAsia="Cambria" w:hAnsi="Cambria"/>
          <w:b/>
          <w:bCs/>
          <w:color w:val="14181D"/>
          <w:sz w:val="28"/>
          <w:szCs w:val="28"/>
        </w:rPr>
        <w:t xml:space="preserve">What to do</w:t>
      </w:r>
    </w:p>
    <w:p>
      <w:pPr>
        <w:pStyle w:val="ListParagraph"/>
        <w:numPr>
          <w:ilvl w:val="0"/>
          <w:numId w:val="11"/>
        </w:numPr>
        <w:spacing w:after="60" w:line="264"/>
      </w:pPr>
      <w:r>
        <w:rPr>
          <w:rFonts w:ascii="Calibri" w:cs="Calibri" w:eastAsia="Calibri" w:hAnsi="Calibri"/>
          <w:b/>
          <w:bCs/>
          <w:color w:val="14181D"/>
          <w:sz w:val="21"/>
          <w:szCs w:val="21"/>
        </w:rPr>
        <w:t xml:space="preserve">If you are visiting somebody here</w:t>
      </w:r>
      <w:r>
        <w:rPr>
          <w:rFonts w:ascii="Calibri" w:cs="Calibri" w:eastAsia="Calibri" w:hAnsi="Calibri"/>
          <w:color w:val="14181D"/>
          <w:sz w:val="21"/>
          <w:szCs w:val="21"/>
        </w:rPr>
        <w:t xml:space="preserve">, ask them to log the visit with the body corporate. By-law 2.5 allows a visitor 24 hours in a visitor bay. Beyond that they need to apply, and an application is not an approval.</w:t>
      </w:r>
    </w:p>
    <w:p>
      <w:pPr>
        <w:pStyle w:val="ListParagraph"/>
        <w:numPr>
          <w:ilvl w:val="0"/>
          <w:numId w:val="11"/>
        </w:numPr>
        <w:spacing w:after="60" w:line="264"/>
      </w:pPr>
      <w:r>
        <w:rPr>
          <w:rFonts w:ascii="Calibri" w:cs="Calibri" w:eastAsia="Calibri" w:hAnsi="Calibri"/>
          <w:b/>
          <w:bCs/>
          <w:color w:val="14181D"/>
          <w:sz w:val="21"/>
          <w:szCs w:val="21"/>
        </w:rPr>
        <w:t xml:space="preserve">If you live here</w:t>
      </w:r>
      <w:r>
        <w:rPr>
          <w:rFonts w:ascii="Calibri" w:cs="Calibri" w:eastAsia="Calibri" w:hAnsi="Calibri"/>
          <w:color w:val="14181D"/>
          <w:sz w:val="21"/>
          <w:szCs w:val="21"/>
        </w:rPr>
        <w:t xml:space="preserve">, please move the vehicle to a bay you are entitled to use. The 24-hour visitor period is not a grace period for residents — a resident’s car in a visitor bay is in breach from the moment it is parked there, even if a guest is using the resident’s own space.</w:t>
      </w:r>
    </w:p>
    <w:p>
      <w:pPr>
        <w:pStyle w:val="ListParagraph"/>
        <w:numPr>
          <w:ilvl w:val="0"/>
          <w:numId w:val="11"/>
        </w:numPr>
        <w:spacing w:after="60" w:line="264"/>
      </w:pPr>
      <w:r>
        <w:rPr>
          <w:rFonts w:ascii="Calibri" w:cs="Calibri" w:eastAsia="Calibri" w:hAnsi="Calibri"/>
          <w:b/>
          <w:bCs/>
          <w:color w:val="14181D"/>
          <w:sz w:val="21"/>
          <w:szCs w:val="21"/>
        </w:rPr>
        <w:t xml:space="preserve">If you think this notice is wrong</w:t>
      </w:r>
      <w:r>
        <w:rPr>
          <w:rFonts w:ascii="Calibri" w:cs="Calibri" w:eastAsia="Calibri" w:hAnsi="Calibri"/>
          <w:color w:val="14181D"/>
          <w:sz w:val="21"/>
          <w:szCs w:val="21"/>
        </w:rPr>
        <w:t xml:space="preserve">, say so. Use the contact below. It is far easier to correct now than after anything else has happened.</w:t>
      </w:r>
    </w:p>
    <w:p>
      <w:pPr>
        <w:spacing w:after="160"/>
      </w:pPr>
    </w:p>
    <w:tbl>
      <w:tblPr>
        <w:tblW w:type="pct" w:w="100%"/>
        <w:tblBorders>
          <w:top w:val="none" w:color="FFFFFF" w:sz="0"/>
          <w:left w:val="single" w:color="1F4E79" w:sz="18"/>
          <w:bottom w:val="none" w:color="FFFFFF" w:sz="0"/>
          <w:right w:val="none" w:color="FFFFFF" w:sz="0"/>
          <w:insideH w:val="single" w:color="auto" w:sz="4"/>
          <w:insideV w:val="single" w:color="auto" w:sz="4"/>
        </w:tblBorders>
      </w:tblPr>
      <w:tblGrid>
        <w:gridCol w:w="100"/>
      </w:tblGrid>
      <w:tr>
        <w:tc>
          <w:tcPr>
            <w:shd w:fill="EAF0F6" w:val="clear"/>
            <w:tcMar>
              <w:top w:type="dxa" w:w="160"/>
              <w:left w:type="dxa" w:w="200"/>
              <w:bottom w:type="dxa" w:w="160"/>
              <w:right w:type="dxa" w:w="200"/>
            </w:tcMar>
          </w:tcPr>
          <w:p>
            <w:pPr>
              <w:spacing w:after="120" w:line="264"/>
            </w:pPr>
            <w:r>
              <w:rPr>
                <w:rFonts w:ascii="Calibri" w:cs="Calibri" w:eastAsia="Calibri" w:hAnsi="Calibri"/>
                <w:b/>
                <w:bCs/>
                <w:color w:val="14181D"/>
                <w:sz w:val="21"/>
                <w:szCs w:val="21"/>
              </w:rPr>
              <w:t xml:space="preserve">What happens if the vehicle stays.</w:t>
            </w:r>
          </w:p>
          <w:p>
            <w:pPr>
              <w:spacing w:after="0" w:line="264"/>
            </w:pPr>
            <w:r>
              <w:rPr>
                <w:rFonts w:ascii="Calibri" w:cs="Calibri" w:eastAsia="Calibri" w:hAnsi="Calibri"/>
                <w:color w:val="14181D"/>
                <w:sz w:val="21"/>
                <w:szCs w:val="21"/>
              </w:rPr>
              <w:t xml:space="preserve">Nothing automatic, and nothing quickly. The matter may be reported to the body corporate Committee, which is the only body that can decide a rule has been broken. The onsite manager cannot make that decision and neither can this notice. If a vehicle is ever removed, it is after a recorded decision of the Committee, and under the towing signs at the entry and throughout the complex.</w:t>
            </w:r>
          </w:p>
        </w:tc>
      </w:tr>
    </w:tbl>
    <w:p>
      <w:pPr>
        <w:spacing w:after="160"/>
      </w:pPr>
    </w:p>
    <w:p>
      <w:pPr>
        <w:spacing w:after="80" w:before="240"/>
      </w:pPr>
      <w:r>
        <w:rPr>
          <w:rFonts w:ascii="Calibri" w:cs="Calibri" w:eastAsia="Calibri" w:hAnsi="Calibri"/>
          <w:b/>
          <w:bCs/>
          <w:color w:val="4A5460"/>
          <w:spacing w:val="20"/>
          <w:sz w:val="16"/>
          <w:szCs w:val="16"/>
        </w:rPr>
        <w:t xml:space="preserve">QUESTIONS ABOUT THIS NOTICE GO TO</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Body corporate contact</w:t>
            </w:r>
          </w:p>
        </w:tc>
        <w:tc>
          <w:tcPr>
            <w:tcW w:type="dxa" w:w="6000"/>
            <w:tcMar>
              <w:top w:type="dxa" w:w="60"/>
              <w:left w:type="dxa" w:w="120"/>
              <w:bottom w:type="dxa" w:w="60"/>
              <w:right w:type="dxa" w:w="120"/>
            </w:tcMar>
            <w:vAlign w:val="center"/>
          </w:tcPr>
          <w:p/>
        </w:tc>
      </w:tr>
    </w:tbl>
    <w:p>
      <w:pPr>
        <w:spacing w:after="120" w:line="264"/>
      </w:pPr>
      <w:r>
        <w:rPr>
          <w:rFonts w:ascii="Calibri" w:cs="Calibri" w:eastAsia="Calibri" w:hAnsi="Calibri"/>
          <w:color w:val="4A5460"/>
          <w:sz w:val="18"/>
          <w:szCs w:val="18"/>
        </w:rPr>
        <w:t xml:space="preserve">Not to the onsite manager, who records what is seen and decides nothing.</w:t>
      </w:r>
    </w:p>
    <w:p>
      <w:pPr>
        <w:spacing w:after="160"/>
      </w:pPr>
    </w:p>
    <w:p>
      <w:pPr>
        <w:spacing w:after="80" w:before="240"/>
      </w:pPr>
      <w:r>
        <w:rPr>
          <w:rFonts w:ascii="Calibri" w:cs="Calibri" w:eastAsia="Calibri" w:hAnsi="Calibri"/>
          <w:b/>
          <w:bCs/>
          <w:color w:val="4A5460"/>
          <w:spacing w:val="20"/>
          <w:sz w:val="16"/>
          <w:szCs w:val="16"/>
        </w:rPr>
        <w:t xml:space="preserve">FOR THE PERSON PLACING THIS NOTICE</w:t>
      </w:r>
    </w:p>
    <w:p>
      <w:pPr>
        <w:pStyle w:val="ListParagraph"/>
        <w:numPr>
          <w:ilvl w:val="0"/>
          <w:numId w:val="1"/>
        </w:numPr>
        <w:spacing w:after="60" w:line="264"/>
      </w:pPr>
      <w:r>
        <w:rPr>
          <w:rFonts w:ascii="Calibri" w:cs="Calibri" w:eastAsia="Calibri" w:hAnsi="Calibri"/>
          <w:b/>
          <w:bCs/>
          <w:color w:val="14181D"/>
          <w:sz w:val="21"/>
          <w:szCs w:val="21"/>
        </w:rPr>
        <w:t xml:space="preserve">Under the wiper blade, in a clear plastic sleeve.</w:t>
      </w:r>
      <w:r>
        <w:rPr>
          <w:rFonts w:ascii="Calibri" w:cs="Calibri" w:eastAsia="Calibri" w:hAnsi="Calibri"/>
          <w:color w:val="14181D"/>
          <w:sz w:val="21"/>
          <w:szCs w:val="21"/>
        </w:rPr>
        <w:t xml:space="preserve"> Never adhesive, tape or anything that marks the vehicle — that is damage to somebody else’s property, and it turns a parking matter into a claim against the scheme.</w:t>
      </w:r>
    </w:p>
    <w:p>
      <w:pPr>
        <w:pStyle w:val="ListParagraph"/>
        <w:numPr>
          <w:ilvl w:val="0"/>
          <w:numId w:val="1"/>
        </w:numPr>
        <w:spacing w:after="60" w:line="264"/>
      </w:pPr>
      <w:r>
        <w:rPr>
          <w:rFonts w:ascii="Calibri" w:cs="Calibri" w:eastAsia="Calibri" w:hAnsi="Calibri"/>
          <w:b/>
          <w:bCs/>
          <w:color w:val="14181D"/>
          <w:sz w:val="21"/>
          <w:szCs w:val="21"/>
        </w:rPr>
        <w:t xml:space="preserve">Photograph it in place before you walk away.</w:t>
      </w:r>
      <w:r>
        <w:rPr>
          <w:rFonts w:ascii="Calibri" w:cs="Calibri" w:eastAsia="Calibri" w:hAnsi="Calibri"/>
          <w:color w:val="14181D"/>
          <w:sz w:val="21"/>
          <w:szCs w:val="21"/>
        </w:rPr>
        <w:t xml:space="preserve"> One wide photograph showing the notice, the vehicle, its registration and the bay. A notice nobody photographed is a notice the owner can say was never left.</w:t>
      </w:r>
    </w:p>
    <w:p>
      <w:pPr>
        <w:pStyle w:val="ListParagraph"/>
        <w:numPr>
          <w:ilvl w:val="0"/>
          <w:numId w:val="1"/>
        </w:numPr>
        <w:spacing w:after="60" w:line="264"/>
      </w:pPr>
      <w:r>
        <w:rPr>
          <w:rFonts w:ascii="Calibri" w:cs="Calibri" w:eastAsia="Calibri" w:hAnsi="Calibri"/>
          <w:b/>
          <w:bCs/>
          <w:color w:val="14181D"/>
          <w:sz w:val="21"/>
          <w:szCs w:val="21"/>
        </w:rPr>
        <w:t xml:space="preserve">Do not open, enter or touch the vehicle</w:t>
      </w:r>
      <w:r>
        <w:rPr>
          <w:rFonts w:ascii="Calibri" w:cs="Calibri" w:eastAsia="Calibri" w:hAnsi="Calibri"/>
          <w:color w:val="14181D"/>
          <w:sz w:val="21"/>
          <w:szCs w:val="21"/>
        </w:rPr>
        <w:t xml:space="preserve">, and do not photograph anybody inside it.</w:t>
      </w:r>
    </w:p>
    <w:p>
      <w:pPr>
        <w:pStyle w:val="ListParagraph"/>
        <w:numPr>
          <w:ilvl w:val="0"/>
          <w:numId w:val="1"/>
        </w:numPr>
        <w:spacing w:after="60" w:line="264"/>
      </w:pPr>
      <w:r>
        <w:rPr>
          <w:rFonts w:ascii="Calibri" w:cs="Calibri" w:eastAsia="Calibri" w:hAnsi="Calibri"/>
          <w:b/>
          <w:bCs/>
          <w:color w:val="14181D"/>
          <w:sz w:val="21"/>
          <w:szCs w:val="21"/>
        </w:rPr>
        <w:t xml:space="preserve">Fill in two copies</w:t>
      </w:r>
      <w:r>
        <w:rPr>
          <w:rFonts w:ascii="Calibri" w:cs="Calibri" w:eastAsia="Calibri" w:hAnsi="Calibri"/>
          <w:color w:val="14181D"/>
          <w:sz w:val="21"/>
          <w:szCs w:val="21"/>
        </w:rPr>
        <w:t xml:space="preserve"> — one goes on the vehicle, one is yours. Enter it in the application, or file your copy, the same day.</w:t>
      </w:r>
    </w:p>
    <w:p>
      <w:pPr>
        <w:spacing w:after="0" w:before="0" w:line="20"/>
      </w:pPr>
      <w:r>
        <w:rPr>
          <w:sz w:val="2"/>
          <w:szCs w:val="2"/>
        </w:rPr>
        <w:t xml:space="preserve"/>
      </w:r>
    </w:p>
    <w:p>
      <w:pPr>
        <w:pageBreakBefore/>
        <w:spacing w:after="0"/>
      </w:pPr>
    </w:p>
    <w:p>
      <w:pPr>
        <w:spacing w:after="60"/>
      </w:pPr>
      <w:r>
        <w:rPr>
          <w:rFonts w:ascii="Calibri" w:cs="Calibri" w:eastAsia="Calibri" w:hAnsi="Calibri"/>
          <w:b/>
          <w:bCs/>
          <w:color w:val="1F4E79"/>
          <w:spacing w:val="30"/>
          <w:sz w:val="16"/>
          <w:szCs w:val="16"/>
        </w:rPr>
        <w:t xml:space="preserve">————————————————  (SCHEME NAME)</w:t>
      </w:r>
    </w:p>
    <w:p>
      <w:pPr>
        <w:spacing w:after="60"/>
      </w:pPr>
      <w:r>
        <w:rPr>
          <w:rFonts w:ascii="Cambria" w:cs="Cambria" w:eastAsia="Cambria" w:hAnsi="Cambria"/>
          <w:b/>
          <w:bCs/>
          <w:color w:val="14181D"/>
          <w:sz w:val="60"/>
          <w:szCs w:val="60"/>
        </w:rPr>
        <w:t xml:space="preserve">Notice of contravention</w:t>
      </w:r>
    </w:p>
    <w:p>
      <w:pPr>
        <w:pBdr>
          <w:bottom w:val="single" w:color="14181D" w:sz="12" w:space="8"/>
        </w:pBdr>
        <w:spacing w:after="40"/>
      </w:pPr>
      <w:r>
        <w:rPr>
          <w:rFonts w:ascii="Calibri" w:cs="Calibri" w:eastAsia="Calibri" w:hAnsi="Calibri"/>
          <w:color w:val="4A5460"/>
          <w:sz w:val="24"/>
          <w:szCs w:val="24"/>
        </w:rPr>
        <w:t xml:space="preserve">A formal warning by resolution of the body corporate Committee.</w:t>
      </w:r>
    </w:p>
    <w:p>
      <w:pPr>
        <w:spacing w:after="160" w:before="60"/>
        <w:jc w:val="right"/>
      </w:pPr>
      <w:r>
        <w:rPr>
          <w:rFonts w:ascii="Calibri" w:cs="Calibri" w:eastAsia="Calibri" w:hAnsi="Calibri"/>
          <w:b/>
          <w:bCs/>
          <w:color w:val="1F4E79"/>
          <w:spacing w:val="30"/>
          <w:sz w:val="18"/>
          <w:szCs w:val="18"/>
        </w:rPr>
        <w:t xml:space="preserve">FORM H</w:t>
      </w: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b/>
                <w:bCs/>
                <w:color w:val="9C2020"/>
                <w:sz w:val="21"/>
                <w:szCs w:val="21"/>
              </w:rPr>
              <w:t xml:space="preserve">Do not place this notice without a recorded Committee decision.</w:t>
            </w:r>
          </w:p>
          <w:p>
            <w:pPr>
              <w:spacing w:after="0" w:line="264"/>
            </w:pPr>
            <w:r>
              <w:rPr>
                <w:rFonts w:ascii="Calibri" w:cs="Calibri" w:eastAsia="Calibri" w:hAnsi="Calibri"/>
                <w:color w:val="9C2020"/>
                <w:sz w:val="21"/>
                <w:szCs w:val="21"/>
              </w:rPr>
              <w:t xml:space="preserve">Complete Form D first and write its reference below. Without one, this notice claims an authority the Committee has not given — and the person who placed it, rather than the Committee, will be the one answering for it.</w:t>
            </w:r>
          </w:p>
        </w:tc>
      </w:tr>
    </w:tbl>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and state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Committee decision reference (Form 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 and time this notice was placed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Bay or location</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Placed by (name and role)</w:t>
            </w:r>
          </w:p>
        </w:tc>
        <w:tc>
          <w:tcPr>
            <w:tcW w:type="dxa" w:w="6000"/>
            <w:tcMar>
              <w:top w:type="dxa" w:w="60"/>
              <w:left w:type="dxa" w:w="120"/>
              <w:bottom w:type="dxa" w:w="60"/>
              <w:right w:type="dxa" w:w="120"/>
            </w:tcMar>
            <w:vAlign w:val="center"/>
          </w:tcPr>
          <w:p/>
        </w:tc>
      </w:tr>
    </w:tbl>
    <w:p>
      <w:pPr>
        <w:spacing w:after="120"/>
      </w:pPr>
    </w:p>
    <w:p>
      <w:pPr>
        <w:spacing w:after="120" w:line="264"/>
      </w:pPr>
      <w:r>
        <w:rPr>
          <w:rFonts w:ascii="Calibri" w:cs="Calibri" w:eastAsia="Calibri" w:hAnsi="Calibri"/>
          <w:color w:val="14181D"/>
          <w:sz w:val="21"/>
          <w:szCs w:val="21"/>
        </w:rPr>
        <w:t xml:space="preserve">The body corporate Committee has resolved that this vehicle is parked in contravention of the community management statement by-laws for this scheme.</w:t>
      </w:r>
    </w:p>
    <w:p>
      <w:pPr>
        <w:spacing w:after="80" w:before="240"/>
      </w:pPr>
      <w:r>
        <w:rPr>
          <w:rFonts w:ascii="Calibri" w:cs="Calibri" w:eastAsia="Calibri" w:hAnsi="Calibri"/>
          <w:b/>
          <w:bCs/>
          <w:color w:val="4A5460"/>
          <w:spacing w:val="20"/>
          <w:sz w:val="16"/>
          <w:szCs w:val="16"/>
        </w:rPr>
        <w:t xml:space="preserve">THE CONTRAVENTION FOUND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By-law 2.5 — a visitor vehicle remaining in a visitor bay longer than the 24 hours allowed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By-law 2.5 — a resident vehicle parked in a visitor bay</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Parked in a bay allocated to another lot without that lot’s permission</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Obstructing access, a bin area, a fire exit or another bay</w:t>
      </w:r>
    </w:p>
    <w:p>
      <w:pP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Other — written here</w:t>
      </w:r>
    </w:p>
    <w:p>
      <w:pPr>
        <w:spacing w:after="60" w:before="200"/>
      </w:pPr>
    </w:p>
    <w:p>
      <w:pPr>
        <w:pBdr>
          <w:bottom w:val="single" w:color="C9C6BE" w:sz="4" w:space="2"/>
        </w:pBdr>
        <w:spacing w:after="0" w:before="200"/>
      </w:pPr>
    </w:p>
    <w:p>
      <w:pPr>
        <w:pBdr>
          <w:bottom w:val="single" w:color="C9C6BE" w:sz="4" w:space="2"/>
        </w:pBdr>
        <w:spacing w:after="0" w:before="200"/>
      </w:pPr>
    </w:p>
    <w:p>
      <w:pPr>
        <w:spacing w:after="160"/>
      </w:pPr>
    </w:p>
    <w:p>
      <w:pPr>
        <w:spacing w:after="120"/>
      </w:pPr>
    </w:p>
    <w:p>
      <w:pPr>
        <w:spacing w:after="80" w:before="240"/>
      </w:pPr>
      <w:r>
        <w:rPr>
          <w:rFonts w:ascii="Calibri" w:cs="Calibri" w:eastAsia="Calibri" w:hAnsi="Calibri"/>
          <w:b/>
          <w:bCs/>
          <w:color w:val="4A5460"/>
          <w:spacing w:val="20"/>
          <w:sz w:val="16"/>
          <w:szCs w:val="16"/>
        </w:rPr>
        <w:t xml:space="preserve">YOU ARE ASKED TO MOVE THIS VEHICLE BY</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 and time</w:t>
            </w:r>
          </w:p>
        </w:tc>
        <w:tc>
          <w:tcPr>
            <w:tcW w:type="dxa" w:w="6000"/>
            <w:tcMar>
              <w:top w:type="dxa" w:w="60"/>
              <w:left w:type="dxa" w:w="120"/>
              <w:bottom w:type="dxa" w:w="60"/>
              <w:right w:type="dxa" w:w="120"/>
            </w:tcMar>
            <w:vAlign w:val="center"/>
          </w:tcPr>
          <w:p/>
        </w:tc>
      </w:tr>
    </w:tbl>
    <w:p>
      <w:pPr>
        <w:spacing w:after="16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b/>
                <w:bCs/>
                <w:color w:val="9C2020"/>
                <w:sz w:val="21"/>
                <w:szCs w:val="21"/>
              </w:rPr>
              <w:t xml:space="preserve">If the vehicle remains after that time</w:t>
            </w:r>
            <w:r>
              <w:rPr>
                <w:rFonts w:ascii="Calibri" w:cs="Calibri" w:eastAsia="Calibri" w:hAnsi="Calibri"/>
                <w:color w:val="9C2020"/>
                <w:sz w:val="21"/>
                <w:szCs w:val="21"/>
              </w:rPr>
              <w:t xml:space="preserve">, the Committee may authorise its removal by the scheme’s towing contractor, at the owner’s risk and expense, under the private property towing agreement and the signs displayed at the entry and throughout the complex. Recovery, storage and other charges are the owner’s to pay.</w:t>
            </w:r>
          </w:p>
          <w:p>
            <w:pPr>
              <w:spacing w:after="0" w:line="264"/>
            </w:pPr>
            <w:r>
              <w:rPr>
                <w:rFonts w:ascii="Calibri" w:cs="Calibri" w:eastAsia="Calibri" w:hAnsi="Calibri"/>
                <w:color w:val="9C2020"/>
                <w:sz w:val="21"/>
                <w:szCs w:val="21"/>
              </w:rPr>
              <w:t xml:space="preserve">Removal is </w:t>
            </w:r>
            <w:r>
              <w:rPr>
                <w:rFonts w:ascii="Calibri" w:cs="Calibri" w:eastAsia="Calibri" w:hAnsi="Calibri"/>
                <w:b/>
                <w:bCs/>
                <w:color w:val="9C2020"/>
                <w:sz w:val="21"/>
                <w:szCs w:val="21"/>
              </w:rPr>
              <w:t xml:space="preserve">not automatic and this notice does not authorise it</w:t>
            </w:r>
            <w:r>
              <w:rPr>
                <w:rFonts w:ascii="Calibri" w:cs="Calibri" w:eastAsia="Calibri" w:hAnsi="Calibri"/>
                <w:color w:val="9C2020"/>
                <w:sz w:val="21"/>
                <w:szCs w:val="21"/>
              </w:rPr>
              <w:t xml:space="preserve">. It requires a further recorded decision of the Committee. Moving the vehicle before then ends the matter.</w:t>
            </w:r>
          </w:p>
        </w:tc>
      </w:tr>
    </w:tbl>
    <w:p>
      <w:pPr>
        <w:spacing w:after="160"/>
      </w:pPr>
    </w:p>
    <w:p>
      <w:pPr>
        <w:spacing w:after="120" w:before="320"/>
      </w:pPr>
      <w:r>
        <w:rPr>
          <w:rFonts w:ascii="Cambria" w:cs="Cambria" w:eastAsia="Cambria" w:hAnsi="Cambria"/>
          <w:b/>
          <w:bCs/>
          <w:color w:val="14181D"/>
          <w:sz w:val="28"/>
          <w:szCs w:val="28"/>
        </w:rPr>
        <w:t xml:space="preserve">If you believe this is wrong</w:t>
      </w:r>
    </w:p>
    <w:p>
      <w:pPr>
        <w:spacing w:after="120" w:line="264"/>
      </w:pPr>
      <w:r>
        <w:rPr>
          <w:rFonts w:ascii="Calibri" w:cs="Calibri" w:eastAsia="Calibri" w:hAnsi="Calibri"/>
          <w:color w:val="14181D"/>
          <w:sz w:val="21"/>
          <w:szCs w:val="21"/>
        </w:rPr>
        <w:t xml:space="preserve">Say so, in writing, to the body corporate contact below. You do not have to move the vehicle first to be heard, and a reply received before the time above will be put to the Committee before anything further is decided. Tell them anything the Committee may not know — an approval you were given, a medical or access reason, a breakdown, or simply that the vehicle is not the one described.</w:t>
      </w:r>
    </w:p>
    <w:p>
      <w:pPr>
        <w:spacing w:after="120"/>
      </w:pPr>
    </w:p>
    <w:p>
      <w:pPr>
        <w:spacing w:after="80" w:before="240"/>
      </w:pPr>
      <w:r>
        <w:rPr>
          <w:rFonts w:ascii="Calibri" w:cs="Calibri" w:eastAsia="Calibri" w:hAnsi="Calibri"/>
          <w:b/>
          <w:bCs/>
          <w:color w:val="4A5460"/>
          <w:spacing w:val="20"/>
          <w:sz w:val="16"/>
          <w:szCs w:val="16"/>
        </w:rPr>
        <w:t xml:space="preserve">WRITE TO</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Body corporate contact</w:t>
            </w:r>
          </w:p>
        </w:tc>
        <w:tc>
          <w:tcPr>
            <w:tcW w:type="dxa" w:w="6000"/>
            <w:tcMar>
              <w:top w:type="dxa" w:w="60"/>
              <w:left w:type="dxa" w:w="120"/>
              <w:bottom w:type="dxa" w:w="60"/>
              <w:right w:type="dxa" w:w="120"/>
            </w:tcMar>
            <w:vAlign w:val="center"/>
          </w:tcPr>
          <w:p/>
        </w:tc>
      </w:tr>
    </w:tbl>
    <w:p>
      <w:pPr>
        <w:spacing w:after="120" w:line="264"/>
      </w:pPr>
      <w:r>
        <w:rPr>
          <w:rFonts w:ascii="Calibri" w:cs="Calibri" w:eastAsia="Calibri" w:hAnsi="Calibri"/>
          <w:color w:val="4A5460"/>
          <w:sz w:val="18"/>
          <w:szCs w:val="18"/>
        </w:rPr>
        <w:t xml:space="preserve">Not to the onsite manager, who has no part in this decision.</w:t>
      </w:r>
    </w:p>
    <w:p>
      <w:pPr>
        <w:spacing w:after="160"/>
      </w:pPr>
    </w:p>
    <w:p>
      <w:pPr>
        <w:spacing w:after="80" w:before="240"/>
      </w:pPr>
      <w:r>
        <w:rPr>
          <w:rFonts w:ascii="Calibri" w:cs="Calibri" w:eastAsia="Calibri" w:hAnsi="Calibri"/>
          <w:b/>
          <w:bCs/>
          <w:color w:val="4A5460"/>
          <w:spacing w:val="20"/>
          <w:sz w:val="16"/>
          <w:szCs w:val="16"/>
        </w:rPr>
        <w:t xml:space="preserve">FOR THE PERSON PLACING THIS NOTICE</w:t>
      </w:r>
    </w:p>
    <w:p>
      <w:pPr>
        <w:pStyle w:val="ListParagraph"/>
        <w:numPr>
          <w:ilvl w:val="0"/>
          <w:numId w:val="1"/>
        </w:numPr>
        <w:spacing w:after="60" w:line="264"/>
      </w:pPr>
      <w:r>
        <w:rPr>
          <w:rFonts w:ascii="Calibri" w:cs="Calibri" w:eastAsia="Calibri" w:hAnsi="Calibri"/>
          <w:b/>
          <w:bCs/>
          <w:color w:val="14181D"/>
          <w:sz w:val="21"/>
          <w:szCs w:val="21"/>
        </w:rPr>
        <w:t xml:space="preserve">Under the wiper blade, in a clear plastic sleeve.</w:t>
      </w:r>
      <w:r>
        <w:rPr>
          <w:rFonts w:ascii="Calibri" w:cs="Calibri" w:eastAsia="Calibri" w:hAnsi="Calibri"/>
          <w:color w:val="14181D"/>
          <w:sz w:val="21"/>
          <w:szCs w:val="21"/>
        </w:rPr>
        <w:t xml:space="preserve"> Never adhesive, tape or anything that marks the vehicle — that is damage to somebody else’s property, and it turns a parking matter into a claim against the scheme.</w:t>
      </w:r>
    </w:p>
    <w:p>
      <w:pPr>
        <w:pStyle w:val="ListParagraph"/>
        <w:numPr>
          <w:ilvl w:val="0"/>
          <w:numId w:val="1"/>
        </w:numPr>
        <w:spacing w:after="60" w:line="264"/>
      </w:pPr>
      <w:r>
        <w:rPr>
          <w:rFonts w:ascii="Calibri" w:cs="Calibri" w:eastAsia="Calibri" w:hAnsi="Calibri"/>
          <w:b/>
          <w:bCs/>
          <w:color w:val="14181D"/>
          <w:sz w:val="21"/>
          <w:szCs w:val="21"/>
        </w:rPr>
        <w:t xml:space="preserve">Photograph it in place before you walk away.</w:t>
      </w:r>
      <w:r>
        <w:rPr>
          <w:rFonts w:ascii="Calibri" w:cs="Calibri" w:eastAsia="Calibri" w:hAnsi="Calibri"/>
          <w:color w:val="14181D"/>
          <w:sz w:val="21"/>
          <w:szCs w:val="21"/>
        </w:rPr>
        <w:t xml:space="preserve"> One wide photograph showing the notice, the vehicle, its registration and the bay. A notice nobody photographed is a notice the owner can say was never left.</w:t>
      </w:r>
    </w:p>
    <w:p>
      <w:pPr>
        <w:pStyle w:val="ListParagraph"/>
        <w:numPr>
          <w:ilvl w:val="0"/>
          <w:numId w:val="1"/>
        </w:numPr>
        <w:spacing w:after="60" w:line="264"/>
      </w:pPr>
      <w:r>
        <w:rPr>
          <w:rFonts w:ascii="Calibri" w:cs="Calibri" w:eastAsia="Calibri" w:hAnsi="Calibri"/>
          <w:b/>
          <w:bCs/>
          <w:color w:val="14181D"/>
          <w:sz w:val="21"/>
          <w:szCs w:val="21"/>
        </w:rPr>
        <w:t xml:space="preserve">Do not open, enter or touch the vehicle</w:t>
      </w:r>
      <w:r>
        <w:rPr>
          <w:rFonts w:ascii="Calibri" w:cs="Calibri" w:eastAsia="Calibri" w:hAnsi="Calibri"/>
          <w:color w:val="14181D"/>
          <w:sz w:val="21"/>
          <w:szCs w:val="21"/>
        </w:rPr>
        <w:t xml:space="preserve">, and do not photograph anybody inside it.</w:t>
      </w:r>
    </w:p>
    <w:p>
      <w:pPr>
        <w:pStyle w:val="ListParagraph"/>
        <w:numPr>
          <w:ilvl w:val="0"/>
          <w:numId w:val="1"/>
        </w:numPr>
        <w:spacing w:after="60" w:line="264"/>
      </w:pPr>
      <w:r>
        <w:rPr>
          <w:rFonts w:ascii="Calibri" w:cs="Calibri" w:eastAsia="Calibri" w:hAnsi="Calibri"/>
          <w:b/>
          <w:bCs/>
          <w:color w:val="14181D"/>
          <w:sz w:val="21"/>
          <w:szCs w:val="21"/>
        </w:rPr>
        <w:t xml:space="preserve">Fill in two copies</w:t>
      </w:r>
      <w:r>
        <w:rPr>
          <w:rFonts w:ascii="Calibri" w:cs="Calibri" w:eastAsia="Calibri" w:hAnsi="Calibri"/>
          <w:color w:val="14181D"/>
          <w:sz w:val="21"/>
          <w:szCs w:val="21"/>
        </w:rPr>
        <w:t xml:space="preserve"> — one goes on the vehicle, one is yours. Enter it in the application, or file your copy, the same day.</w:t>
      </w:r>
    </w:p>
    <w:p>
      <w:pPr>
        <w:spacing w:after="0" w:before="0" w:line="20"/>
      </w:pPr>
      <w:r>
        <w:rPr>
          <w:sz w:val="2"/>
          <w:szCs w:val="2"/>
        </w:rPr>
        <w:t xml:space="preserve"/>
      </w:r>
    </w:p>
    <w:sectPr>
      <w:headerReference w:type="default" r:id="rId7"/>
      <w:footerReference w:type="default" r:id="rId8"/>
      <w:pgSz w:w="11905" w:h="16837" w:orient="portrait"/>
      <w:pgMar w:top="1133" w:right="1020" w:bottom="1020" w:left="10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4A5460"/>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6BE" w:sz="4" w:space="6"/>
      </w:pBdr>
      <w:spacing w:after="200"/>
    </w:pPr>
    <w:r>
      <w:rPr>
        <w:rFonts w:ascii="Calibri" w:cs="Calibri" w:eastAsia="Calibri" w:hAnsi="Calibri"/>
        <w:color w:val="4A5460"/>
        <w:sz w:val="15"/>
        <w:szCs w:val="15"/>
      </w:rPr>
      <w:t xml:space="preserve">Paper procedure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00"/>
      </w:pPr>
      <w:rPr>
        <w:rFonts w:ascii="Calibri" w:cs="Calibri" w:eastAsia="Calibri" w:hAnsi="Calibri"/>
        <w:b/>
        <w:bCs/>
        <w:color w:val="1F4E79"/>
        <w:sz w:val="21"/>
        <w:szCs w:val="21"/>
      </w:r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8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ListParagraph">
    <w:name w:val="List Paragraph"/>
    <w:basedOn w:val="Normal"/>
    <w:qFormat/>
    <w:pPr>
      <w:spacing w:after="60" w:line="264"/>
    </w:p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procedure</dc:title>
  <dc:creator>Parking and towing administration</dc:creator>
  <dc:description>Paper fallback procedure for when the parking system is unavailable.</dc:description>
  <cp:lastModifiedBy>Un-named</cp:lastModifiedBy>
  <cp:revision>1</cp:revision>
  <dcterms:created xsi:type="dcterms:W3CDTF">2026-08-23T09:49:28.625Z</dcterms:created>
  <dcterms:modified xsi:type="dcterms:W3CDTF">2026-08-23T09:49:28.627Z</dcterms:modified>
</cp:coreProperties>
</file>

<file path=docProps/custom.xml><?xml version="1.0" encoding="utf-8"?>
<Properties xmlns="http://schemas.openxmlformats.org/officeDocument/2006/custom-properties" xmlns:vt="http://schemas.openxmlformats.org/officeDocument/2006/docPropsVTypes"/>
</file>