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Calibri" w:cs="Calibri" w:eastAsia="Calibri" w:hAnsi="Calibri"/>
          <w:b/>
          <w:bCs/>
          <w:color w:val="1F4E79"/>
          <w:spacing w:val="30"/>
          <w:sz w:val="16"/>
          <w:szCs w:val="16"/>
        </w:rPr>
        <w:t xml:space="preserve">————————————————  (SCHEME NAME)</w:t>
      </w:r>
    </w:p>
    <w:p>
      <w:pPr>
        <w:spacing w:after="60"/>
      </w:pPr>
      <w:r>
        <w:rPr>
          <w:rFonts w:ascii="Cambria" w:cs="Cambria" w:eastAsia="Cambria" w:hAnsi="Cambria"/>
          <w:b/>
          <w:bCs/>
          <w:color w:val="14181D"/>
          <w:sz w:val="60"/>
          <w:szCs w:val="60"/>
        </w:rPr>
        <w:t xml:space="preserve">Notice of contravention</w:t>
      </w:r>
    </w:p>
    <w:p>
      <w:pPr>
        <w:pBdr>
          <w:bottom w:val="single" w:color="14181D" w:sz="12" w:space="8"/>
        </w:pBdr>
        <w:spacing w:after="40"/>
      </w:pPr>
      <w:r>
        <w:rPr>
          <w:rFonts w:ascii="Calibri" w:cs="Calibri" w:eastAsia="Calibri" w:hAnsi="Calibri"/>
          <w:color w:val="4A5460"/>
          <w:sz w:val="24"/>
          <w:szCs w:val="24"/>
        </w:rPr>
        <w:t xml:space="preserve">A formal warning by resolution of the body corporate Committee.</w:t>
      </w:r>
    </w:p>
    <w:p>
      <w:pPr>
        <w:spacing w:after="160" w:before="60"/>
        <w:jc w:val="right"/>
      </w:pPr>
      <w:r>
        <w:rPr>
          <w:rFonts w:ascii="Calibri" w:cs="Calibri" w:eastAsia="Calibri" w:hAnsi="Calibri"/>
          <w:b/>
          <w:bCs/>
          <w:color w:val="1F4E79"/>
          <w:spacing w:val="30"/>
          <w:sz w:val="18"/>
          <w:szCs w:val="18"/>
        </w:rPr>
        <w:t xml:space="preserve">FORM H</w:t>
      </w:r>
    </w:p>
    <w:tbl>
      <w:tblPr>
        <w:tblW w:type="pct" w:w="100%"/>
        <w:tblBorders>
          <w:top w:val="none" w:color="FFFFFF" w:sz="0"/>
          <w:left w:val="single" w:color="9C2020" w:sz="18"/>
          <w:bottom w:val="none" w:color="FFFFFF" w:sz="0"/>
          <w:right w:val="none" w:color="FFFFFF" w:sz="0"/>
          <w:insideH w:val="single" w:color="auto" w:sz="4"/>
          <w:insideV w:val="single" w:color="auto" w:sz="4"/>
        </w:tblBorders>
      </w:tblPr>
      <w:tblGrid>
        <w:gridCol w:w="100"/>
      </w:tblGrid>
      <w:tr>
        <w:tc>
          <w:tcPr>
            <w:shd w:fill="FBEEED" w:val="clear"/>
            <w:tcMar>
              <w:top w:type="dxa" w:w="160"/>
              <w:left w:type="dxa" w:w="200"/>
              <w:bottom w:type="dxa" w:w="160"/>
              <w:right w:type="dxa" w:w="200"/>
            </w:tcMar>
          </w:tcPr>
          <w:p>
            <w:pPr>
              <w:spacing w:after="120" w:line="264"/>
            </w:pPr>
            <w:r>
              <w:rPr>
                <w:rFonts w:ascii="Calibri" w:cs="Calibri" w:eastAsia="Calibri" w:hAnsi="Calibri"/>
                <w:b/>
                <w:bCs/>
                <w:color w:val="9C2020"/>
                <w:sz w:val="21"/>
                <w:szCs w:val="21"/>
              </w:rPr>
              <w:t xml:space="preserve">Do not place this notice without a recorded Committee decision.</w:t>
            </w:r>
          </w:p>
          <w:p>
            <w:pPr>
              <w:spacing w:after="0" w:line="264"/>
            </w:pPr>
            <w:r>
              <w:rPr>
                <w:rFonts w:ascii="Calibri" w:cs="Calibri" w:eastAsia="Calibri" w:hAnsi="Calibri"/>
                <w:color w:val="9C2020"/>
                <w:sz w:val="21"/>
                <w:szCs w:val="21"/>
              </w:rPr>
              <w:t xml:space="preserve">Complete Form D first and write its reference below. Without one, this notice claims an authority the Committee has not given — and the person who placed it, rather than the Committee, will be the one answering for it.</w:t>
            </w:r>
          </w:p>
        </w:tc>
      </w:tr>
    </w:tbl>
    <w:p>
      <w:pPr>
        <w:spacing w:after="160"/>
      </w:pPr>
    </w:p>
    <w:tbl>
      <w:tblPr>
        <w:tblW w:type="pct" w:w="100%"/>
        <w:tblBorders>
          <w:top w:val="single" w:color="C9C6BE" w:sz="4"/>
          <w:left w:val="single" w:color="C9C6BE" w:sz="4"/>
          <w:bottom w:val="single" w:color="C9C6BE" w:sz="4"/>
          <w:right w:val="single" w:color="C9C6BE" w:sz="4"/>
          <w:insideH w:val="single" w:color="auto" w:sz="4"/>
          <w:insideV w:val="single" w:color="auto" w:sz="4"/>
        </w:tblBorders>
      </w:tblPr>
      <w:tblGrid>
        <w:gridCol w:w="3600"/>
        <w:gridCol w:w="6000"/>
      </w:tblGrid>
      <w:tr>
        <w:trPr>
          <w:trHeight w:val="440" w:hRule="atLeast"/>
        </w:trPr>
        <w:tc>
          <w:tcPr>
            <w:tcW w:type="dxa" w:w="3600"/>
            <w:shd w:fill="F2F1ED" w:val="clear"/>
            <w:tcMar>
              <w:top w:type="dxa" w:w="60"/>
              <w:left w:type="dxa" w:w="120"/>
              <w:bottom w:type="dxa" w:w="60"/>
              <w:right w:type="dxa" w:w="120"/>
            </w:tcMar>
            <w:vAlign w:val="center"/>
          </w:tcPr>
          <w:p>
            <w:r>
              <w:rPr>
                <w:rFonts w:ascii="Calibri" w:cs="Calibri" w:eastAsia="Calibri" w:hAnsi="Calibri"/>
                <w:b/>
                <w:bCs/>
                <w:color w:val="4A5460"/>
                <w:sz w:val="19"/>
                <w:szCs w:val="19"/>
              </w:rPr>
              <w:t xml:space="preserve">Registration and state</w:t>
            </w:r>
          </w:p>
        </w:tc>
        <w:tc>
          <w:tcPr>
            <w:tcW w:type="dxa" w:w="6000"/>
            <w:tcMar>
              <w:top w:type="dxa" w:w="60"/>
              <w:left w:type="dxa" w:w="120"/>
              <w:bottom w:type="dxa" w:w="60"/>
              <w:right w:type="dxa" w:w="120"/>
            </w:tcMar>
            <w:vAlign w:val="center"/>
          </w:tcPr>
          <w:p/>
        </w:tc>
      </w:tr>
      <w:tr>
        <w:trPr>
          <w:trHeight w:val="440" w:hRule="atLeast"/>
        </w:trPr>
        <w:tc>
          <w:tcPr>
            <w:tcW w:type="dxa" w:w="3600"/>
            <w:shd w:fill="F2F1ED" w:val="clear"/>
            <w:tcMar>
              <w:top w:type="dxa" w:w="60"/>
              <w:left w:type="dxa" w:w="120"/>
              <w:bottom w:type="dxa" w:w="60"/>
              <w:right w:type="dxa" w:w="120"/>
            </w:tcMar>
            <w:vAlign w:val="center"/>
          </w:tcPr>
          <w:p>
            <w:r>
              <w:rPr>
                <w:rFonts w:ascii="Calibri" w:cs="Calibri" w:eastAsia="Calibri" w:hAnsi="Calibri"/>
                <w:b/>
                <w:bCs/>
                <w:color w:val="4A5460"/>
                <w:sz w:val="19"/>
                <w:szCs w:val="19"/>
              </w:rPr>
              <w:t xml:space="preserve">Committee decision reference (Form D)</w:t>
            </w:r>
          </w:p>
        </w:tc>
        <w:tc>
          <w:tcPr>
            <w:tcW w:type="dxa" w:w="6000"/>
            <w:tcMar>
              <w:top w:type="dxa" w:w="60"/>
              <w:left w:type="dxa" w:w="120"/>
              <w:bottom w:type="dxa" w:w="60"/>
              <w:right w:type="dxa" w:w="120"/>
            </w:tcMar>
            <w:vAlign w:val="center"/>
          </w:tcPr>
          <w:p/>
        </w:tc>
      </w:tr>
      <w:tr>
        <w:trPr>
          <w:trHeight w:val="440" w:hRule="atLeast"/>
        </w:trPr>
        <w:tc>
          <w:tcPr>
            <w:tcW w:type="dxa" w:w="3600"/>
            <w:shd w:fill="F2F1ED" w:val="clear"/>
            <w:tcMar>
              <w:top w:type="dxa" w:w="60"/>
              <w:left w:type="dxa" w:w="120"/>
              <w:bottom w:type="dxa" w:w="60"/>
              <w:right w:type="dxa" w:w="120"/>
            </w:tcMar>
            <w:vAlign w:val="center"/>
          </w:tcPr>
          <w:p>
            <w:r>
              <w:rPr>
                <w:rFonts w:ascii="Calibri" w:cs="Calibri" w:eastAsia="Calibri" w:hAnsi="Calibri"/>
                <w:b/>
                <w:bCs/>
                <w:color w:val="4A5460"/>
                <w:sz w:val="19"/>
                <w:szCs w:val="19"/>
              </w:rPr>
              <w:t xml:space="preserve">Date and time this notice was placed</w:t>
            </w:r>
          </w:p>
        </w:tc>
        <w:tc>
          <w:tcPr>
            <w:tcW w:type="dxa" w:w="6000"/>
            <w:tcMar>
              <w:top w:type="dxa" w:w="60"/>
              <w:left w:type="dxa" w:w="120"/>
              <w:bottom w:type="dxa" w:w="60"/>
              <w:right w:type="dxa" w:w="120"/>
            </w:tcMar>
            <w:vAlign w:val="center"/>
          </w:tcPr>
          <w:p/>
        </w:tc>
      </w:tr>
      <w:tr>
        <w:trPr>
          <w:trHeight w:val="440" w:hRule="atLeast"/>
        </w:trPr>
        <w:tc>
          <w:tcPr>
            <w:tcW w:type="dxa" w:w="3600"/>
            <w:shd w:fill="F2F1ED" w:val="clear"/>
            <w:tcMar>
              <w:top w:type="dxa" w:w="60"/>
              <w:left w:type="dxa" w:w="120"/>
              <w:bottom w:type="dxa" w:w="60"/>
              <w:right w:type="dxa" w:w="120"/>
            </w:tcMar>
            <w:vAlign w:val="center"/>
          </w:tcPr>
          <w:p>
            <w:r>
              <w:rPr>
                <w:rFonts w:ascii="Calibri" w:cs="Calibri" w:eastAsia="Calibri" w:hAnsi="Calibri"/>
                <w:b/>
                <w:bCs/>
                <w:color w:val="4A5460"/>
                <w:sz w:val="19"/>
                <w:szCs w:val="19"/>
              </w:rPr>
              <w:t xml:space="preserve">Bay or location</w:t>
            </w:r>
          </w:p>
        </w:tc>
        <w:tc>
          <w:tcPr>
            <w:tcW w:type="dxa" w:w="6000"/>
            <w:tcMar>
              <w:top w:type="dxa" w:w="60"/>
              <w:left w:type="dxa" w:w="120"/>
              <w:bottom w:type="dxa" w:w="60"/>
              <w:right w:type="dxa" w:w="120"/>
            </w:tcMar>
            <w:vAlign w:val="center"/>
          </w:tcPr>
          <w:p/>
        </w:tc>
      </w:tr>
      <w:tr>
        <w:trPr>
          <w:trHeight w:val="440" w:hRule="atLeast"/>
        </w:trPr>
        <w:tc>
          <w:tcPr>
            <w:tcW w:type="dxa" w:w="3600"/>
            <w:shd w:fill="F2F1ED" w:val="clear"/>
            <w:tcMar>
              <w:top w:type="dxa" w:w="60"/>
              <w:left w:type="dxa" w:w="120"/>
              <w:bottom w:type="dxa" w:w="60"/>
              <w:right w:type="dxa" w:w="120"/>
            </w:tcMar>
            <w:vAlign w:val="center"/>
          </w:tcPr>
          <w:p>
            <w:r>
              <w:rPr>
                <w:rFonts w:ascii="Calibri" w:cs="Calibri" w:eastAsia="Calibri" w:hAnsi="Calibri"/>
                <w:b/>
                <w:bCs/>
                <w:color w:val="4A5460"/>
                <w:sz w:val="19"/>
                <w:szCs w:val="19"/>
              </w:rPr>
              <w:t xml:space="preserve">Placed by (name and role)</w:t>
            </w:r>
          </w:p>
        </w:tc>
        <w:tc>
          <w:tcPr>
            <w:tcW w:type="dxa" w:w="6000"/>
            <w:tcMar>
              <w:top w:type="dxa" w:w="60"/>
              <w:left w:type="dxa" w:w="120"/>
              <w:bottom w:type="dxa" w:w="60"/>
              <w:right w:type="dxa" w:w="120"/>
            </w:tcMar>
            <w:vAlign w:val="center"/>
          </w:tcPr>
          <w:p/>
        </w:tc>
      </w:tr>
    </w:tbl>
    <w:p>
      <w:pPr>
        <w:spacing w:after="120"/>
      </w:pPr>
    </w:p>
    <w:p>
      <w:pPr>
        <w:spacing w:after="120" w:line="264"/>
      </w:pPr>
      <w:r>
        <w:rPr>
          <w:rFonts w:ascii="Calibri" w:cs="Calibri" w:eastAsia="Calibri" w:hAnsi="Calibri"/>
          <w:color w:val="14181D"/>
          <w:sz w:val="21"/>
          <w:szCs w:val="21"/>
        </w:rPr>
        <w:t xml:space="preserve">The body corporate Committee has resolved that this vehicle is parked in contravention of the community management statement by-laws for this scheme.</w:t>
      </w:r>
    </w:p>
    <w:p>
      <w:pPr>
        <w:spacing w:after="80" w:before="240"/>
      </w:pPr>
      <w:r>
        <w:rPr>
          <w:rFonts w:ascii="Calibri" w:cs="Calibri" w:eastAsia="Calibri" w:hAnsi="Calibri"/>
          <w:b/>
          <w:bCs/>
          <w:color w:val="4A5460"/>
          <w:spacing w:val="20"/>
          <w:sz w:val="16"/>
          <w:szCs w:val="16"/>
        </w:rPr>
        <w:t xml:space="preserve">THE CONTRAVENTION FOUND</w:t>
      </w:r>
    </w:p>
    <w:p>
      <w:pPr>
        <w:pBdr>
          <w:bottom w:val="single" w:color="C9C6BE" w:sz="2" w:space="6"/>
        </w:pBdr>
        <w:spacing w:after="80" w:before="80"/>
        <w:ind w:left="200" w:hanging="200"/>
      </w:pPr>
      <w:r>
        <w:rPr>
          <w:rFonts w:ascii="Calibri" w:cs="Calibri" w:eastAsia="Calibri" w:hAnsi="Calibri"/>
          <w:color w:val="14181D"/>
          <w:sz w:val="24"/>
          <w:szCs w:val="24"/>
        </w:rPr>
        <w:t xml:space="preserve">☐   </w:t>
      </w:r>
      <w:r>
        <w:rPr>
          <w:rFonts w:ascii="Calibri" w:cs="Calibri" w:eastAsia="Calibri" w:hAnsi="Calibri"/>
          <w:color w:val="14181D"/>
          <w:sz w:val="20"/>
          <w:szCs w:val="20"/>
        </w:rPr>
        <w:t xml:space="preserve">By-law 2.5 — a visitor vehicle remaining in a visitor bay longer than the 24 hours allowed</w:t>
      </w:r>
    </w:p>
    <w:p>
      <w:pPr>
        <w:pBdr>
          <w:bottom w:val="single" w:color="C9C6BE" w:sz="2" w:space="6"/>
        </w:pBdr>
        <w:spacing w:after="80" w:before="80"/>
        <w:ind w:left="200" w:hanging="200"/>
      </w:pPr>
      <w:r>
        <w:rPr>
          <w:rFonts w:ascii="Calibri" w:cs="Calibri" w:eastAsia="Calibri" w:hAnsi="Calibri"/>
          <w:color w:val="14181D"/>
          <w:sz w:val="24"/>
          <w:szCs w:val="24"/>
        </w:rPr>
        <w:t xml:space="preserve">☐   </w:t>
      </w:r>
      <w:r>
        <w:rPr>
          <w:rFonts w:ascii="Calibri" w:cs="Calibri" w:eastAsia="Calibri" w:hAnsi="Calibri"/>
          <w:color w:val="14181D"/>
          <w:sz w:val="20"/>
          <w:szCs w:val="20"/>
        </w:rPr>
        <w:t xml:space="preserve">By-law 2.5 — a resident vehicle parked in a visitor bay</w:t>
      </w:r>
    </w:p>
    <w:p>
      <w:pPr>
        <w:pBdr>
          <w:bottom w:val="single" w:color="C9C6BE" w:sz="2" w:space="6"/>
        </w:pBdr>
        <w:spacing w:after="80" w:before="80"/>
        <w:ind w:left="200" w:hanging="200"/>
      </w:pPr>
      <w:r>
        <w:rPr>
          <w:rFonts w:ascii="Calibri" w:cs="Calibri" w:eastAsia="Calibri" w:hAnsi="Calibri"/>
          <w:color w:val="14181D"/>
          <w:sz w:val="24"/>
          <w:szCs w:val="24"/>
        </w:rPr>
        <w:t xml:space="preserve">☐   </w:t>
      </w:r>
      <w:r>
        <w:rPr>
          <w:rFonts w:ascii="Calibri" w:cs="Calibri" w:eastAsia="Calibri" w:hAnsi="Calibri"/>
          <w:color w:val="14181D"/>
          <w:sz w:val="20"/>
          <w:szCs w:val="20"/>
        </w:rPr>
        <w:t xml:space="preserve">Parked in a bay allocated to another lot without that lot’s permission</w:t>
      </w:r>
    </w:p>
    <w:p>
      <w:pPr>
        <w:pBdr>
          <w:bottom w:val="single" w:color="C9C6BE" w:sz="2" w:space="6"/>
        </w:pBdr>
        <w:spacing w:after="80" w:before="80"/>
        <w:ind w:left="200" w:hanging="200"/>
      </w:pPr>
      <w:r>
        <w:rPr>
          <w:rFonts w:ascii="Calibri" w:cs="Calibri" w:eastAsia="Calibri" w:hAnsi="Calibri"/>
          <w:color w:val="14181D"/>
          <w:sz w:val="24"/>
          <w:szCs w:val="24"/>
        </w:rPr>
        <w:t xml:space="preserve">☐   </w:t>
      </w:r>
      <w:r>
        <w:rPr>
          <w:rFonts w:ascii="Calibri" w:cs="Calibri" w:eastAsia="Calibri" w:hAnsi="Calibri"/>
          <w:color w:val="14181D"/>
          <w:sz w:val="20"/>
          <w:szCs w:val="20"/>
        </w:rPr>
        <w:t xml:space="preserve">Obstructing access, a bin area, a fire exit or another bay</w:t>
      </w:r>
    </w:p>
    <w:p>
      <w:pPr>
        <w:spacing w:after="80" w:before="80"/>
        <w:ind w:left="200" w:hanging="200"/>
      </w:pPr>
      <w:r>
        <w:rPr>
          <w:rFonts w:ascii="Calibri" w:cs="Calibri" w:eastAsia="Calibri" w:hAnsi="Calibri"/>
          <w:color w:val="14181D"/>
          <w:sz w:val="24"/>
          <w:szCs w:val="24"/>
        </w:rPr>
        <w:t xml:space="preserve">☐   </w:t>
      </w:r>
      <w:r>
        <w:rPr>
          <w:rFonts w:ascii="Calibri" w:cs="Calibri" w:eastAsia="Calibri" w:hAnsi="Calibri"/>
          <w:color w:val="14181D"/>
          <w:sz w:val="20"/>
          <w:szCs w:val="20"/>
        </w:rPr>
        <w:t xml:space="preserve">Other — written here</w:t>
      </w:r>
    </w:p>
    <w:p>
      <w:pPr>
        <w:spacing w:after="60" w:before="200"/>
      </w:pPr>
    </w:p>
    <w:p>
      <w:pPr>
        <w:pBdr>
          <w:bottom w:val="single" w:color="C9C6BE" w:sz="4" w:space="2"/>
        </w:pBdr>
        <w:spacing w:after="0" w:before="200"/>
      </w:pPr>
    </w:p>
    <w:p>
      <w:pPr>
        <w:pBdr>
          <w:bottom w:val="single" w:color="C9C6BE" w:sz="4" w:space="2"/>
        </w:pBdr>
        <w:spacing w:after="0" w:before="200"/>
      </w:pPr>
    </w:p>
    <w:p>
      <w:pPr>
        <w:spacing w:after="160"/>
      </w:pPr>
    </w:p>
    <w:p>
      <w:pPr>
        <w:spacing w:after="120"/>
      </w:pPr>
    </w:p>
    <w:p>
      <w:pPr>
        <w:spacing w:after="80" w:before="240"/>
      </w:pPr>
      <w:r>
        <w:rPr>
          <w:rFonts w:ascii="Calibri" w:cs="Calibri" w:eastAsia="Calibri" w:hAnsi="Calibri"/>
          <w:b/>
          <w:bCs/>
          <w:color w:val="4A5460"/>
          <w:spacing w:val="20"/>
          <w:sz w:val="16"/>
          <w:szCs w:val="16"/>
        </w:rPr>
        <w:t xml:space="preserve">YOU ARE ASKED TO MOVE THIS VEHICLE BY</w:t>
      </w:r>
    </w:p>
    <w:tbl>
      <w:tblPr>
        <w:tblW w:type="pct" w:w="100%"/>
        <w:tblBorders>
          <w:top w:val="single" w:color="C9C6BE" w:sz="4"/>
          <w:left w:val="single" w:color="C9C6BE" w:sz="4"/>
          <w:bottom w:val="single" w:color="C9C6BE" w:sz="4"/>
          <w:right w:val="single" w:color="C9C6BE" w:sz="4"/>
          <w:insideH w:val="single" w:color="auto" w:sz="4"/>
          <w:insideV w:val="single" w:color="auto" w:sz="4"/>
        </w:tblBorders>
      </w:tblPr>
      <w:tblGrid>
        <w:gridCol w:w="3600"/>
        <w:gridCol w:w="6000"/>
      </w:tblGrid>
      <w:tr>
        <w:trPr>
          <w:trHeight w:val="440" w:hRule="atLeast"/>
        </w:trPr>
        <w:tc>
          <w:tcPr>
            <w:tcW w:type="dxa" w:w="3600"/>
            <w:shd w:fill="F2F1ED" w:val="clear"/>
            <w:tcMar>
              <w:top w:type="dxa" w:w="60"/>
              <w:left w:type="dxa" w:w="120"/>
              <w:bottom w:type="dxa" w:w="60"/>
              <w:right w:type="dxa" w:w="120"/>
            </w:tcMar>
            <w:vAlign w:val="center"/>
          </w:tcPr>
          <w:p>
            <w:r>
              <w:rPr>
                <w:rFonts w:ascii="Calibri" w:cs="Calibri" w:eastAsia="Calibri" w:hAnsi="Calibri"/>
                <w:b/>
                <w:bCs/>
                <w:color w:val="4A5460"/>
                <w:sz w:val="19"/>
                <w:szCs w:val="19"/>
              </w:rPr>
              <w:t xml:space="preserve">Date and time</w:t>
            </w:r>
          </w:p>
        </w:tc>
        <w:tc>
          <w:tcPr>
            <w:tcW w:type="dxa" w:w="6000"/>
            <w:tcMar>
              <w:top w:type="dxa" w:w="60"/>
              <w:left w:type="dxa" w:w="120"/>
              <w:bottom w:type="dxa" w:w="60"/>
              <w:right w:type="dxa" w:w="120"/>
            </w:tcMar>
            <w:vAlign w:val="center"/>
          </w:tcPr>
          <w:p/>
        </w:tc>
      </w:tr>
    </w:tbl>
    <w:p>
      <w:pPr>
        <w:spacing w:after="160"/>
      </w:pPr>
    </w:p>
    <w:tbl>
      <w:tblPr>
        <w:tblW w:type="pct" w:w="100%"/>
        <w:tblBorders>
          <w:top w:val="none" w:color="FFFFFF" w:sz="0"/>
          <w:left w:val="single" w:color="9C2020" w:sz="18"/>
          <w:bottom w:val="none" w:color="FFFFFF" w:sz="0"/>
          <w:right w:val="none" w:color="FFFFFF" w:sz="0"/>
          <w:insideH w:val="single" w:color="auto" w:sz="4"/>
          <w:insideV w:val="single" w:color="auto" w:sz="4"/>
        </w:tblBorders>
      </w:tblPr>
      <w:tblGrid>
        <w:gridCol w:w="100"/>
      </w:tblGrid>
      <w:tr>
        <w:tc>
          <w:tcPr>
            <w:shd w:fill="FBEEED" w:val="clear"/>
            <w:tcMar>
              <w:top w:type="dxa" w:w="160"/>
              <w:left w:type="dxa" w:w="200"/>
              <w:bottom w:type="dxa" w:w="160"/>
              <w:right w:type="dxa" w:w="200"/>
            </w:tcMar>
          </w:tcPr>
          <w:p>
            <w:pPr>
              <w:spacing w:after="120" w:line="264"/>
            </w:pPr>
            <w:r>
              <w:rPr>
                <w:rFonts w:ascii="Calibri" w:cs="Calibri" w:eastAsia="Calibri" w:hAnsi="Calibri"/>
                <w:b/>
                <w:bCs/>
                <w:color w:val="9C2020"/>
                <w:sz w:val="21"/>
                <w:szCs w:val="21"/>
              </w:rPr>
              <w:t xml:space="preserve">If the vehicle remains after that time</w:t>
            </w:r>
            <w:r>
              <w:rPr>
                <w:rFonts w:ascii="Calibri" w:cs="Calibri" w:eastAsia="Calibri" w:hAnsi="Calibri"/>
                <w:color w:val="9C2020"/>
                <w:sz w:val="21"/>
                <w:szCs w:val="21"/>
              </w:rPr>
              <w:t xml:space="preserve">, the Committee may authorise its removal by the scheme’s towing contractor, at the owner’s risk and expense, under the private property towing agreement and the signs displayed at the entry and throughout the complex. Recovery, storage and other charges are the owner’s to pay.</w:t>
            </w:r>
          </w:p>
          <w:p>
            <w:pPr>
              <w:spacing w:after="0" w:line="264"/>
            </w:pPr>
            <w:r>
              <w:rPr>
                <w:rFonts w:ascii="Calibri" w:cs="Calibri" w:eastAsia="Calibri" w:hAnsi="Calibri"/>
                <w:color w:val="9C2020"/>
                <w:sz w:val="21"/>
                <w:szCs w:val="21"/>
              </w:rPr>
              <w:t xml:space="preserve">Removal is </w:t>
            </w:r>
            <w:r>
              <w:rPr>
                <w:rFonts w:ascii="Calibri" w:cs="Calibri" w:eastAsia="Calibri" w:hAnsi="Calibri"/>
                <w:b/>
                <w:bCs/>
                <w:color w:val="9C2020"/>
                <w:sz w:val="21"/>
                <w:szCs w:val="21"/>
              </w:rPr>
              <w:t xml:space="preserve">not automatic and this notice does not authorise it</w:t>
            </w:r>
            <w:r>
              <w:rPr>
                <w:rFonts w:ascii="Calibri" w:cs="Calibri" w:eastAsia="Calibri" w:hAnsi="Calibri"/>
                <w:color w:val="9C2020"/>
                <w:sz w:val="21"/>
                <w:szCs w:val="21"/>
              </w:rPr>
              <w:t xml:space="preserve">. It requires a further recorded decision of the Committee. Moving the vehicle before then ends the matter.</w:t>
            </w:r>
          </w:p>
        </w:tc>
      </w:tr>
    </w:tbl>
    <w:p>
      <w:pPr>
        <w:spacing w:after="160"/>
      </w:pPr>
    </w:p>
    <w:p>
      <w:pPr>
        <w:spacing w:after="120" w:before="320"/>
      </w:pPr>
      <w:r>
        <w:rPr>
          <w:rFonts w:ascii="Cambria" w:cs="Cambria" w:eastAsia="Cambria" w:hAnsi="Cambria"/>
          <w:b/>
          <w:bCs/>
          <w:color w:val="14181D"/>
          <w:sz w:val="28"/>
          <w:szCs w:val="28"/>
        </w:rPr>
        <w:t xml:space="preserve">If you believe this is wrong</w:t>
      </w:r>
    </w:p>
    <w:p>
      <w:pPr>
        <w:spacing w:after="120" w:line="264"/>
      </w:pPr>
      <w:r>
        <w:rPr>
          <w:rFonts w:ascii="Calibri" w:cs="Calibri" w:eastAsia="Calibri" w:hAnsi="Calibri"/>
          <w:color w:val="14181D"/>
          <w:sz w:val="21"/>
          <w:szCs w:val="21"/>
        </w:rPr>
        <w:t xml:space="preserve">Say so, in writing, to the body corporate contact below. You do not have to move the vehicle first to be heard, and a reply received before the time above will be put to the Committee before anything further is decided. Tell them anything the Committee may not know — an approval you were given, a medical or access reason, a breakdown, or simply that the vehicle is not the one described.</w:t>
      </w:r>
    </w:p>
    <w:p>
      <w:pPr>
        <w:spacing w:after="120"/>
      </w:pPr>
    </w:p>
    <w:p>
      <w:pPr>
        <w:spacing w:after="80" w:before="240"/>
      </w:pPr>
      <w:r>
        <w:rPr>
          <w:rFonts w:ascii="Calibri" w:cs="Calibri" w:eastAsia="Calibri" w:hAnsi="Calibri"/>
          <w:b/>
          <w:bCs/>
          <w:color w:val="4A5460"/>
          <w:spacing w:val="20"/>
          <w:sz w:val="16"/>
          <w:szCs w:val="16"/>
        </w:rPr>
        <w:t xml:space="preserve">WRITE TO</w:t>
      </w:r>
    </w:p>
    <w:tbl>
      <w:tblPr>
        <w:tblW w:type="pct" w:w="100%"/>
        <w:tblBorders>
          <w:top w:val="single" w:color="C9C6BE" w:sz="4"/>
          <w:left w:val="single" w:color="C9C6BE" w:sz="4"/>
          <w:bottom w:val="single" w:color="C9C6BE" w:sz="4"/>
          <w:right w:val="single" w:color="C9C6BE" w:sz="4"/>
          <w:insideH w:val="single" w:color="auto" w:sz="4"/>
          <w:insideV w:val="single" w:color="auto" w:sz="4"/>
        </w:tblBorders>
      </w:tblPr>
      <w:tblGrid>
        <w:gridCol w:w="3600"/>
        <w:gridCol w:w="6000"/>
      </w:tblGrid>
      <w:tr>
        <w:trPr>
          <w:trHeight w:val="440" w:hRule="atLeast"/>
        </w:trPr>
        <w:tc>
          <w:tcPr>
            <w:tcW w:type="dxa" w:w="3600"/>
            <w:shd w:fill="F2F1ED" w:val="clear"/>
            <w:tcMar>
              <w:top w:type="dxa" w:w="60"/>
              <w:left w:type="dxa" w:w="120"/>
              <w:bottom w:type="dxa" w:w="60"/>
              <w:right w:type="dxa" w:w="120"/>
            </w:tcMar>
            <w:vAlign w:val="center"/>
          </w:tcPr>
          <w:p>
            <w:r>
              <w:rPr>
                <w:rFonts w:ascii="Calibri" w:cs="Calibri" w:eastAsia="Calibri" w:hAnsi="Calibri"/>
                <w:b/>
                <w:bCs/>
                <w:color w:val="4A5460"/>
                <w:sz w:val="19"/>
                <w:szCs w:val="19"/>
              </w:rPr>
              <w:t xml:space="preserve">Body corporate contact</w:t>
            </w:r>
          </w:p>
        </w:tc>
        <w:tc>
          <w:tcPr>
            <w:tcW w:type="dxa" w:w="6000"/>
            <w:tcMar>
              <w:top w:type="dxa" w:w="60"/>
              <w:left w:type="dxa" w:w="120"/>
              <w:bottom w:type="dxa" w:w="60"/>
              <w:right w:type="dxa" w:w="120"/>
            </w:tcMar>
            <w:vAlign w:val="center"/>
          </w:tcPr>
          <w:p/>
        </w:tc>
      </w:tr>
    </w:tbl>
    <w:p>
      <w:pPr>
        <w:spacing w:after="120" w:line="264"/>
      </w:pPr>
      <w:r>
        <w:rPr>
          <w:rFonts w:ascii="Calibri" w:cs="Calibri" w:eastAsia="Calibri" w:hAnsi="Calibri"/>
          <w:color w:val="4A5460"/>
          <w:sz w:val="18"/>
          <w:szCs w:val="18"/>
        </w:rPr>
        <w:t xml:space="preserve">Not to the onsite manager, who has no part in this decision.</w:t>
      </w:r>
    </w:p>
    <w:p>
      <w:pPr>
        <w:spacing w:after="160"/>
      </w:pPr>
    </w:p>
    <w:p>
      <w:pPr>
        <w:spacing w:after="80" w:before="240"/>
      </w:pPr>
      <w:r>
        <w:rPr>
          <w:rFonts w:ascii="Calibri" w:cs="Calibri" w:eastAsia="Calibri" w:hAnsi="Calibri"/>
          <w:b/>
          <w:bCs/>
          <w:color w:val="4A5460"/>
          <w:spacing w:val="20"/>
          <w:sz w:val="16"/>
          <w:szCs w:val="16"/>
        </w:rPr>
        <w:t xml:space="preserve">FOR THE PERSON PLACING THIS NOTICE</w:t>
      </w:r>
    </w:p>
    <w:p>
      <w:pPr>
        <w:pStyle w:val="ListParagraph"/>
        <w:numPr>
          <w:ilvl w:val="0"/>
          <w:numId w:val="1"/>
        </w:numPr>
        <w:spacing w:after="60" w:line="264"/>
      </w:pPr>
      <w:r>
        <w:rPr>
          <w:rFonts w:ascii="Calibri" w:cs="Calibri" w:eastAsia="Calibri" w:hAnsi="Calibri"/>
          <w:b/>
          <w:bCs/>
          <w:color w:val="14181D"/>
          <w:sz w:val="21"/>
          <w:szCs w:val="21"/>
        </w:rPr>
        <w:t xml:space="preserve">Under the wiper blade, in a clear plastic sleeve.</w:t>
      </w:r>
      <w:r>
        <w:rPr>
          <w:rFonts w:ascii="Calibri" w:cs="Calibri" w:eastAsia="Calibri" w:hAnsi="Calibri"/>
          <w:color w:val="14181D"/>
          <w:sz w:val="21"/>
          <w:szCs w:val="21"/>
        </w:rPr>
        <w:t xml:space="preserve"> Never adhesive, tape or anything that marks the vehicle — that is damage to somebody else’s property, and it turns a parking matter into a claim against the scheme.</w:t>
      </w:r>
    </w:p>
    <w:p>
      <w:pPr>
        <w:pStyle w:val="ListParagraph"/>
        <w:numPr>
          <w:ilvl w:val="0"/>
          <w:numId w:val="1"/>
        </w:numPr>
        <w:spacing w:after="60" w:line="264"/>
      </w:pPr>
      <w:r>
        <w:rPr>
          <w:rFonts w:ascii="Calibri" w:cs="Calibri" w:eastAsia="Calibri" w:hAnsi="Calibri"/>
          <w:b/>
          <w:bCs/>
          <w:color w:val="14181D"/>
          <w:sz w:val="21"/>
          <w:szCs w:val="21"/>
        </w:rPr>
        <w:t xml:space="preserve">Photograph it in place before you walk away.</w:t>
      </w:r>
      <w:r>
        <w:rPr>
          <w:rFonts w:ascii="Calibri" w:cs="Calibri" w:eastAsia="Calibri" w:hAnsi="Calibri"/>
          <w:color w:val="14181D"/>
          <w:sz w:val="21"/>
          <w:szCs w:val="21"/>
        </w:rPr>
        <w:t xml:space="preserve"> One wide photograph showing the notice, the vehicle, its registration and the bay. A notice nobody photographed is a notice the owner can say was never left.</w:t>
      </w:r>
    </w:p>
    <w:p>
      <w:pPr>
        <w:pStyle w:val="ListParagraph"/>
        <w:numPr>
          <w:ilvl w:val="0"/>
          <w:numId w:val="1"/>
        </w:numPr>
        <w:spacing w:after="60" w:line="264"/>
      </w:pPr>
      <w:r>
        <w:rPr>
          <w:rFonts w:ascii="Calibri" w:cs="Calibri" w:eastAsia="Calibri" w:hAnsi="Calibri"/>
          <w:b/>
          <w:bCs/>
          <w:color w:val="14181D"/>
          <w:sz w:val="21"/>
          <w:szCs w:val="21"/>
        </w:rPr>
        <w:t xml:space="preserve">Do not open, enter or touch the vehicle</w:t>
      </w:r>
      <w:r>
        <w:rPr>
          <w:rFonts w:ascii="Calibri" w:cs="Calibri" w:eastAsia="Calibri" w:hAnsi="Calibri"/>
          <w:color w:val="14181D"/>
          <w:sz w:val="21"/>
          <w:szCs w:val="21"/>
        </w:rPr>
        <w:t xml:space="preserve">, and do not photograph anybody inside it.</w:t>
      </w:r>
    </w:p>
    <w:p>
      <w:pPr>
        <w:pStyle w:val="ListParagraph"/>
        <w:numPr>
          <w:ilvl w:val="0"/>
          <w:numId w:val="1"/>
        </w:numPr>
        <w:spacing w:after="60" w:line="264"/>
      </w:pPr>
      <w:r>
        <w:rPr>
          <w:rFonts w:ascii="Calibri" w:cs="Calibri" w:eastAsia="Calibri" w:hAnsi="Calibri"/>
          <w:b/>
          <w:bCs/>
          <w:color w:val="14181D"/>
          <w:sz w:val="21"/>
          <w:szCs w:val="21"/>
        </w:rPr>
        <w:t xml:space="preserve">Fill in two copies</w:t>
      </w:r>
      <w:r>
        <w:rPr>
          <w:rFonts w:ascii="Calibri" w:cs="Calibri" w:eastAsia="Calibri" w:hAnsi="Calibri"/>
          <w:color w:val="14181D"/>
          <w:sz w:val="21"/>
          <w:szCs w:val="21"/>
        </w:rPr>
        <w:t xml:space="preserve"> — one goes on the vehicle, one is yours. Enter it in the application, or file your copy, the same day.</w:t>
      </w:r>
    </w:p>
    <w:p>
      <w:pPr>
        <w:spacing w:after="0" w:before="0" w:line="20"/>
      </w:pPr>
      <w:r>
        <w:rPr>
          <w:sz w:val="2"/>
          <w:szCs w:val="2"/>
        </w:rPr>
        <w:t xml:space="preserve"/>
      </w:r>
    </w:p>
    <w:sectPr>
      <w:headerReference w:type="default" r:id="rId7"/>
      <w:footerReference w:type="default" r:id="rId8"/>
      <w:pgSz w:w="11905" w:h="16837" w:orient="portrait"/>
      <w:pgMar w:top="1133" w:right="1020" w:bottom="1020" w:left="102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right"/>
    </w:pPr>
    <w:r>
      <w:rPr>
        <w:rFonts w:ascii="Calibri" w:cs="Calibri" w:eastAsia="Calibri" w:hAnsi="Calibri"/>
        <w:color w:val="4A5460"/>
        <w:sz w:val="15"/>
        <w:szCs w:val="15"/>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6BE" w:sz="4" w:space="6"/>
      </w:pBdr>
      <w:spacing w:after="200"/>
    </w:pPr>
    <w:r>
      <w:rPr>
        <w:rFonts w:ascii="Calibri" w:cs="Calibri" w:eastAsia="Calibri" w:hAnsi="Calibri"/>
        <w:color w:val="4A5460"/>
        <w:sz w:val="15"/>
        <w:szCs w:val="15"/>
      </w:rPr>
      <w:t xml:space="preserve">Form H — Notice of contravention — to leave on a vehicle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480" w:hanging="300"/>
      </w:pPr>
      <w:rPr>
        <w:rFonts w:ascii="Calibri" w:cs="Calibri" w:eastAsia="Calibri" w:hAnsi="Calibri"/>
        <w:b/>
        <w:bCs/>
        <w:color w:val="1F4E79"/>
        <w:sz w:val="21"/>
        <w:szCs w:val="21"/>
      </w:r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81D"/>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ListParagraph">
    <w:name w:val="List Paragraph"/>
    <w:basedOn w:val="Normal"/>
    <w:qFormat/>
    <w:pPr>
      <w:spacing w:after="60" w:line="264"/>
    </w:p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H — Notice of contravention — to leave on a vehicle</dc:title>
  <dc:creator>Parking and towing administration</dc:creator>
  <dc:description>Paper fallback procedure for when the parking system is unavailable.</dc:description>
  <cp:lastModifiedBy>Un-named</cp:lastModifiedBy>
  <cp:revision>1</cp:revision>
  <dcterms:created xsi:type="dcterms:W3CDTF">2026-08-23T09:49:28.911Z</dcterms:created>
  <dcterms:modified xsi:type="dcterms:W3CDTF">2026-08-23T09:49:28.911Z</dcterms:modified>
</cp:coreProperties>
</file>

<file path=docProps/custom.xml><?xml version="1.0" encoding="utf-8"?>
<Properties xmlns="http://schemas.openxmlformats.org/officeDocument/2006/custom-properties" xmlns:vt="http://schemas.openxmlformats.org/officeDocument/2006/docPropsVTypes"/>
</file>