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rFonts w:ascii="Calibri" w:cs="Calibri" w:eastAsia="Calibri" w:hAnsi="Calibri"/>
          <w:b/>
          <w:bCs/>
          <w:color w:val="1F4E79"/>
          <w:spacing w:val="30"/>
          <w:sz w:val="16"/>
          <w:szCs w:val="16"/>
        </w:rPr>
        <w:t xml:space="preserve">————————————————  (SCHEME NAME)</w:t>
      </w:r>
    </w:p>
    <w:p>
      <w:pPr>
        <w:pBdr>
          <w:top w:val="single" w:color="C9C6BE" w:sz="4" w:space="10"/>
        </w:pBdr>
        <w:spacing w:after="120" w:before="320"/>
      </w:pPr>
      <w:r>
        <w:rPr>
          <w:rFonts w:ascii="Cambria" w:cs="Cambria" w:eastAsia="Cambria" w:hAnsi="Cambria"/>
          <w:b/>
          <w:bCs/>
          <w:color w:val="14181D"/>
          <w:sz w:val="28"/>
          <w:szCs w:val="28"/>
        </w:rPr>
        <w:t xml:space="preserve">Parking and towing — the written procedure</w:t>
      </w:r>
    </w:p>
    <w:p>
      <w:pPr>
        <w:spacing w:after="120" w:line="264"/>
      </w:pPr>
      <w:r>
        <w:rPr>
          <w:rFonts w:ascii="Calibri" w:cs="Calibri" w:eastAsia="Calibri" w:hAnsi="Calibri"/>
          <w:color w:val="4A5460"/>
          <w:sz w:val="20"/>
          <w:szCs w:val="20"/>
        </w:rPr>
        <w:t xml:space="preserve">A note for the Committee</w:t>
      </w:r>
    </w:p>
    <w:p>
      <w:pPr>
        <w:spacing w:after="160"/>
      </w:pPr>
    </w:p>
    <w:p>
      <w:pPr>
        <w:spacing w:after="120" w:line="264"/>
      </w:pPr>
      <w:r>
        <w:rPr>
          <w:rFonts w:ascii="Calibri" w:cs="Calibri" w:eastAsia="Calibri" w:hAnsi="Calibri"/>
          <w:color w:val="14181D"/>
          <w:sz w:val="21"/>
          <w:szCs w:val="21"/>
        </w:rPr>
        <w:t xml:space="preserve">This pack sets out how a parking matter is handled from the moment somebody notices a car to the moment it is towed, or — far more often — to the moment it is dealt with without towing anybody.</w:t>
      </w:r>
    </w:p>
    <w:p>
      <w:pPr>
        <w:spacing w:after="120"/>
      </w:pPr>
    </w:p>
    <w:tbl>
      <w:tblPr>
        <w:tblW w:type="pct" w:w="100%"/>
        <w:tblBorders>
          <w:top w:val="none" w:color="FFFFFF" w:sz="0"/>
          <w:left w:val="single" w:color="1F4E79" w:sz="18"/>
          <w:bottom w:val="none" w:color="FFFFFF" w:sz="0"/>
          <w:right w:val="none" w:color="FFFFFF" w:sz="0"/>
          <w:insideH w:val="single" w:color="auto" w:sz="4"/>
          <w:insideV w:val="single" w:color="auto" w:sz="4"/>
        </w:tblBorders>
      </w:tblPr>
      <w:tblGrid>
        <w:gridCol w:w="100"/>
      </w:tblGrid>
      <w:tr>
        <w:tc>
          <w:tcPr>
            <w:shd w:fill="EAF0F6" w:val="clear"/>
            <w:tcMar>
              <w:top w:type="dxa" w:w="160"/>
              <w:left w:type="dxa" w:w="200"/>
              <w:bottom w:type="dxa" w:w="160"/>
              <w:right w:type="dxa" w:w="200"/>
            </w:tcMar>
          </w:tcPr>
          <w:p>
            <w:pPr>
              <w:spacing w:after="120" w:line="264"/>
            </w:pPr>
            <w:r>
              <w:rPr>
                <w:rFonts w:ascii="Calibri" w:cs="Calibri" w:eastAsia="Calibri" w:hAnsi="Calibri"/>
                <w:b/>
                <w:bCs/>
                <w:color w:val="14181D"/>
                <w:sz w:val="21"/>
                <w:szCs w:val="21"/>
              </w:rPr>
              <w:t xml:space="preserve">It works on paper. There is no software you have to adopt to use it.</w:t>
            </w:r>
          </w:p>
          <w:p>
            <w:pPr>
              <w:spacing w:after="0" w:line="264"/>
            </w:pPr>
            <w:r>
              <w:rPr>
                <w:rFonts w:ascii="Calibri" w:cs="Calibri" w:eastAsia="Calibri" w:hAnsi="Calibri"/>
                <w:color w:val="14181D"/>
                <w:sz w:val="21"/>
                <w:szCs w:val="21"/>
              </w:rPr>
              <w:t xml:space="preserve">The procedures and the eight forms are complete on their own. An application exists that does the same thing with less writing, and you can look at it or ignore it; the process does not depend on it.</w:t>
            </w:r>
          </w:p>
        </w:tc>
      </w:tr>
    </w:tbl>
    <w:p>
      <w:pPr>
        <w:spacing w:after="160"/>
      </w:pPr>
    </w:p>
    <w:p>
      <w:pPr>
        <w:pBdr>
          <w:top w:val="single" w:color="C9C6BE" w:sz="4" w:space="10"/>
        </w:pBdr>
        <w:spacing w:after="120" w:before="320"/>
      </w:pPr>
      <w:r>
        <w:rPr>
          <w:rFonts w:ascii="Cambria" w:cs="Cambria" w:eastAsia="Cambria" w:hAnsi="Cambria"/>
          <w:b/>
          <w:bCs/>
          <w:color w:val="14181D"/>
          <w:sz w:val="28"/>
          <w:szCs w:val="28"/>
        </w:rPr>
        <w:t xml:space="preserve">What it is for</w:t>
      </w:r>
    </w:p>
    <w:p>
      <w:pPr>
        <w:spacing w:after="120" w:line="264"/>
      </w:pPr>
      <w:r>
        <w:rPr>
          <w:rFonts w:ascii="Calibri" w:cs="Calibri" w:eastAsia="Calibri" w:hAnsi="Calibri"/>
          <w:color w:val="14181D"/>
          <w:sz w:val="21"/>
          <w:szCs w:val="21"/>
        </w:rPr>
        <w:t xml:space="preserve">Three things, in order of how often they matter.</w:t>
      </w:r>
    </w:p>
    <w:p>
      <w:pPr>
        <w:pStyle w:val="ListParagraph"/>
        <w:numPr>
          <w:ilvl w:val="0"/>
          <w:numId w:val="2"/>
        </w:numPr>
        <w:spacing w:after="60" w:line="264"/>
      </w:pPr>
      <w:r>
        <w:rPr>
          <w:rFonts w:ascii="Calibri" w:cs="Calibri" w:eastAsia="Calibri" w:hAnsi="Calibri"/>
          <w:b/>
          <w:bCs/>
          <w:color w:val="14181D"/>
          <w:sz w:val="21"/>
          <w:szCs w:val="21"/>
        </w:rPr>
        <w:t xml:space="preserve">Most matters end without a tow.</w:t>
      </w:r>
      <w:r>
        <w:rPr>
          <w:rFonts w:ascii="Calibri" w:cs="Calibri" w:eastAsia="Calibri" w:hAnsi="Calibri"/>
          <w:color w:val="14181D"/>
          <w:sz w:val="21"/>
          <w:szCs w:val="21"/>
        </w:rPr>
        <w:t xml:space="preserve"> A visitor overstays, somebody has a word, the car moves. The forms make that the easy path and the recorded one.</w:t>
      </w:r>
    </w:p>
    <w:p>
      <w:pPr>
        <w:pStyle w:val="ListParagraph"/>
        <w:numPr>
          <w:ilvl w:val="0"/>
          <w:numId w:val="2"/>
        </w:numPr>
        <w:spacing w:after="60" w:line="264"/>
      </w:pPr>
      <w:r>
        <w:rPr>
          <w:rFonts w:ascii="Calibri" w:cs="Calibri" w:eastAsia="Calibri" w:hAnsi="Calibri"/>
          <w:b/>
          <w:bCs/>
          <w:color w:val="14181D"/>
          <w:sz w:val="21"/>
          <w:szCs w:val="21"/>
        </w:rPr>
        <w:t xml:space="preserve">When a tow does happen, it has to be defensible.</w:t>
      </w:r>
      <w:r>
        <w:rPr>
          <w:rFonts w:ascii="Calibri" w:cs="Calibri" w:eastAsia="Calibri" w:hAnsi="Calibri"/>
          <w:color w:val="14181D"/>
          <w:sz w:val="21"/>
          <w:szCs w:val="21"/>
        </w:rPr>
        <w:t xml:space="preserve"> A private-property tow is the most consequential thing a body corporate does to somebody, and the questions afterwards are always the same: what rule was broken, what less intrusive options were considered, who decided, and were they entitled to. Form D and Form E ask those questions in advance rather than after.</w:t>
      </w:r>
    </w:p>
    <w:p>
      <w:pPr>
        <w:pStyle w:val="ListParagraph"/>
        <w:numPr>
          <w:ilvl w:val="0"/>
          <w:numId w:val="2"/>
        </w:numPr>
        <w:spacing w:after="60" w:line="264"/>
      </w:pPr>
      <w:r>
        <w:rPr>
          <w:rFonts w:ascii="Calibri" w:cs="Calibri" w:eastAsia="Calibri" w:hAnsi="Calibri"/>
          <w:b/>
          <w:bCs/>
          <w:color w:val="14181D"/>
          <w:sz w:val="21"/>
          <w:szCs w:val="21"/>
        </w:rPr>
        <w:t xml:space="preserve">The decision has to rest with the Committee.</w:t>
      </w:r>
      <w:r>
        <w:rPr>
          <w:rFonts w:ascii="Calibri" w:cs="Calibri" w:eastAsia="Calibri" w:hAnsi="Calibri"/>
          <w:color w:val="14181D"/>
          <w:sz w:val="21"/>
          <w:szCs w:val="21"/>
        </w:rPr>
        <w:t xml:space="preserve"> The onsite manager records what they see and nothing more. That is not a comment on anybody — it is that the caretaker is a contractor rather than an agent of the body corporate, holds no insurance cover for enforcement, and at this scheme is also the letting agent for some lots. Keeping the decision away from them protects them as much as anybody.</w:t>
      </w:r>
    </w:p>
    <w:p>
      <w:pPr>
        <w:spacing w:after="160"/>
      </w:pPr>
    </w:p>
    <w:p>
      <w:pPr>
        <w:pBdr>
          <w:top w:val="single" w:color="C9C6BE" w:sz="4" w:space="10"/>
        </w:pBdr>
        <w:spacing w:after="120" w:before="320"/>
      </w:pPr>
      <w:r>
        <w:rPr>
          <w:rFonts w:ascii="Cambria" w:cs="Cambria" w:eastAsia="Cambria" w:hAnsi="Cambria"/>
          <w:b/>
          <w:bCs/>
          <w:color w:val="14181D"/>
          <w:sz w:val="28"/>
          <w:szCs w:val="28"/>
        </w:rPr>
        <w:t xml:space="preserve">What is in the pack</w:t>
      </w:r>
    </w:p>
    <w:p>
      <w:pPr>
        <w:pStyle w:val="ListParagraph"/>
        <w:numPr>
          <w:ilvl w:val="0"/>
          <w:numId w:val="1"/>
        </w:numPr>
        <w:spacing w:after="60" w:line="264"/>
      </w:pPr>
      <w:r>
        <w:rPr>
          <w:rFonts w:ascii="Calibri" w:cs="Calibri" w:eastAsia="Calibri" w:hAnsi="Calibri"/>
          <w:b/>
          <w:bCs/>
          <w:color w:val="14181D"/>
          <w:sz w:val="21"/>
          <w:szCs w:val="21"/>
        </w:rPr>
        <w:t xml:space="preserve">Form A</w:t>
      </w:r>
      <w:r>
        <w:rPr>
          <w:rFonts w:ascii="Calibri" w:cs="Calibri" w:eastAsia="Calibri" w:hAnsi="Calibri"/>
          <w:color w:val="14181D"/>
          <w:sz w:val="21"/>
          <w:szCs w:val="21"/>
        </w:rPr>
        <w:t xml:space="preserve"> — Observation record — what somebody saw, twice, with photographs.</w:t>
      </w:r>
    </w:p>
    <w:p>
      <w:pPr>
        <w:pStyle w:val="ListParagraph"/>
        <w:numPr>
          <w:ilvl w:val="0"/>
          <w:numId w:val="1"/>
        </w:numPr>
        <w:spacing w:after="60" w:line="264"/>
      </w:pPr>
      <w:r>
        <w:rPr>
          <w:rFonts w:ascii="Calibri" w:cs="Calibri" w:eastAsia="Calibri" w:hAnsi="Calibri"/>
          <w:b/>
          <w:bCs/>
          <w:color w:val="14181D"/>
          <w:sz w:val="21"/>
          <w:szCs w:val="21"/>
        </w:rPr>
        <w:t xml:space="preserve">Form B</w:t>
      </w:r>
      <w:r>
        <w:rPr>
          <w:rFonts w:ascii="Calibri" w:cs="Calibri" w:eastAsia="Calibri" w:hAnsi="Calibri"/>
          <w:color w:val="14181D"/>
          <w:sz w:val="21"/>
          <w:szCs w:val="21"/>
        </w:rPr>
        <w:t xml:space="preserve"> — Visitor parking up to 24 hours. Nothing to approve; the by-law grants it.</w:t>
      </w:r>
    </w:p>
    <w:p>
      <w:pPr>
        <w:pStyle w:val="ListParagraph"/>
        <w:numPr>
          <w:ilvl w:val="0"/>
          <w:numId w:val="1"/>
        </w:numPr>
        <w:spacing w:after="60" w:line="264"/>
      </w:pPr>
      <w:r>
        <w:rPr>
          <w:rFonts w:ascii="Calibri" w:cs="Calibri" w:eastAsia="Calibri" w:hAnsi="Calibri"/>
          <w:b/>
          <w:bCs/>
          <w:color w:val="14181D"/>
          <w:sz w:val="21"/>
          <w:szCs w:val="21"/>
        </w:rPr>
        <w:t xml:space="preserve">Form C</w:t>
      </w:r>
      <w:r>
        <w:rPr>
          <w:rFonts w:ascii="Calibri" w:cs="Calibri" w:eastAsia="Calibri" w:hAnsi="Calibri"/>
          <w:color w:val="14181D"/>
          <w:sz w:val="21"/>
          <w:szCs w:val="21"/>
        </w:rPr>
        <w:t xml:space="preserve"> — Application for a longer stay. Submitting it is not approval.</w:t>
      </w:r>
    </w:p>
    <w:p>
      <w:pPr>
        <w:pStyle w:val="ListParagraph"/>
        <w:numPr>
          <w:ilvl w:val="0"/>
          <w:numId w:val="1"/>
        </w:numPr>
        <w:spacing w:after="60" w:line="264"/>
      </w:pPr>
      <w:r>
        <w:rPr>
          <w:rFonts w:ascii="Calibri" w:cs="Calibri" w:eastAsia="Calibri" w:hAnsi="Calibri"/>
          <w:b/>
          <w:bCs/>
          <w:color w:val="14181D"/>
          <w:sz w:val="21"/>
          <w:szCs w:val="21"/>
        </w:rPr>
        <w:t xml:space="preserve">Form D</w:t>
      </w:r>
      <w:r>
        <w:rPr>
          <w:rFonts w:ascii="Calibri" w:cs="Calibri" w:eastAsia="Calibri" w:hAnsi="Calibri"/>
          <w:color w:val="14181D"/>
          <w:sz w:val="21"/>
          <w:szCs w:val="21"/>
        </w:rPr>
        <w:t xml:space="preserve"> — Committee decision — votes, conflicts, reasons. Every decision needs one.</w:t>
      </w:r>
    </w:p>
    <w:p>
      <w:pPr>
        <w:pStyle w:val="ListParagraph"/>
        <w:numPr>
          <w:ilvl w:val="0"/>
          <w:numId w:val="1"/>
        </w:numPr>
        <w:spacing w:after="60" w:line="264"/>
      </w:pPr>
      <w:r>
        <w:rPr>
          <w:rFonts w:ascii="Calibri" w:cs="Calibri" w:eastAsia="Calibri" w:hAnsi="Calibri"/>
          <w:b/>
          <w:bCs/>
          <w:color w:val="14181D"/>
          <w:sz w:val="21"/>
          <w:szCs w:val="21"/>
        </w:rPr>
        <w:t xml:space="preserve">Form E</w:t>
      </w:r>
      <w:r>
        <w:rPr>
          <w:rFonts w:ascii="Calibri" w:cs="Calibri" w:eastAsia="Calibri" w:hAnsi="Calibri"/>
          <w:color w:val="14181D"/>
          <w:sz w:val="21"/>
          <w:szCs w:val="21"/>
        </w:rPr>
        <w:t xml:space="preserve"> — Tow authorisation checklist. Attach Form D. Neither is enough alone.</w:t>
      </w:r>
    </w:p>
    <w:p>
      <w:pPr>
        <w:pStyle w:val="ListParagraph"/>
        <w:numPr>
          <w:ilvl w:val="0"/>
          <w:numId w:val="1"/>
        </w:numPr>
        <w:spacing w:after="60" w:line="264"/>
      </w:pPr>
      <w:r>
        <w:rPr>
          <w:rFonts w:ascii="Calibri" w:cs="Calibri" w:eastAsia="Calibri" w:hAnsi="Calibri"/>
          <w:b/>
          <w:bCs/>
          <w:color w:val="14181D"/>
          <w:sz w:val="21"/>
          <w:szCs w:val="21"/>
        </w:rPr>
        <w:t xml:space="preserve">Form F</w:t>
      </w:r>
      <w:r>
        <w:rPr>
          <w:rFonts w:ascii="Calibri" w:cs="Calibri" w:eastAsia="Calibri" w:hAnsi="Calibri"/>
          <w:color w:val="14181D"/>
          <w:sz w:val="21"/>
          <w:szCs w:val="21"/>
        </w:rPr>
        <w:t xml:space="preserve"> — Stand down — to stop a tow after the truck has been called.</w:t>
      </w:r>
    </w:p>
    <w:p>
      <w:pPr>
        <w:pStyle w:val="ListParagraph"/>
        <w:numPr>
          <w:ilvl w:val="0"/>
          <w:numId w:val="1"/>
        </w:numPr>
        <w:spacing w:after="60" w:line="264"/>
      </w:pPr>
      <w:r>
        <w:rPr>
          <w:rFonts w:ascii="Calibri" w:cs="Calibri" w:eastAsia="Calibri" w:hAnsi="Calibri"/>
          <w:b/>
          <w:bCs/>
          <w:color w:val="14181D"/>
          <w:sz w:val="21"/>
          <w:szCs w:val="21"/>
        </w:rPr>
        <w:t xml:space="preserve">Form G</w:t>
      </w:r>
      <w:r>
        <w:rPr>
          <w:rFonts w:ascii="Calibri" w:cs="Calibri" w:eastAsia="Calibri" w:hAnsi="Calibri"/>
          <w:color w:val="14181D"/>
          <w:sz w:val="21"/>
          <w:szCs w:val="21"/>
        </w:rPr>
        <w:t xml:space="preserve"> — Parking notice, to leave on a vehicle. A courtesy — no accusation, no deadline, anybody may place it.</w:t>
      </w:r>
    </w:p>
    <w:p>
      <w:pPr>
        <w:pStyle w:val="ListParagraph"/>
        <w:numPr>
          <w:ilvl w:val="0"/>
          <w:numId w:val="1"/>
        </w:numPr>
        <w:spacing w:after="60" w:line="264"/>
      </w:pPr>
      <w:r>
        <w:rPr>
          <w:rFonts w:ascii="Calibri" w:cs="Calibri" w:eastAsia="Calibri" w:hAnsi="Calibri"/>
          <w:b/>
          <w:bCs/>
          <w:color w:val="14181D"/>
          <w:sz w:val="21"/>
          <w:szCs w:val="21"/>
        </w:rPr>
        <w:t xml:space="preserve">Form H</w:t>
      </w:r>
      <w:r>
        <w:rPr>
          <w:rFonts w:ascii="Calibri" w:cs="Calibri" w:eastAsia="Calibri" w:hAnsi="Calibri"/>
          <w:color w:val="14181D"/>
          <w:sz w:val="21"/>
          <w:szCs w:val="21"/>
        </w:rPr>
        <w:t xml:space="preserve"> — Notice of contravention, to leave on a vehicle. Requires a Committee decision first, and its reference is written on it.</w:t>
      </w:r>
    </w:p>
    <w:p>
      <w:pPr>
        <w:spacing w:after="160"/>
      </w:pPr>
    </w:p>
    <w:p>
      <w:pPr>
        <w:pBdr>
          <w:top w:val="single" w:color="C9C6BE" w:sz="4" w:space="10"/>
        </w:pBdr>
        <w:spacing w:after="120" w:before="320"/>
      </w:pPr>
      <w:r>
        <w:rPr>
          <w:rFonts w:ascii="Cambria" w:cs="Cambria" w:eastAsia="Cambria" w:hAnsi="Cambria"/>
          <w:b/>
          <w:bCs/>
          <w:color w:val="14181D"/>
          <w:sz w:val="28"/>
          <w:szCs w:val="28"/>
        </w:rPr>
        <w:t xml:space="preserve">What we are asking you to decide</w:t>
      </w:r>
    </w:p>
    <w:p>
      <w:pPr>
        <w:pStyle w:val="ListParagraph"/>
        <w:numPr>
          <w:ilvl w:val="0"/>
          <w:numId w:val="3"/>
        </w:numPr>
        <w:spacing w:after="60" w:line="264"/>
      </w:pPr>
      <w:r>
        <w:rPr>
          <w:rFonts w:ascii="Calibri" w:cs="Calibri" w:eastAsia="Calibri" w:hAnsi="Calibri"/>
          <w:color w:val="14181D"/>
          <w:sz w:val="21"/>
          <w:szCs w:val="21"/>
        </w:rPr>
        <w:t xml:space="preserve">Whether to adopt the procedure as written. It can be adopted without adopting anything else.</w:t>
      </w:r>
    </w:p>
    <w:p>
      <w:pPr>
        <w:pStyle w:val="ListParagraph"/>
        <w:numPr>
          <w:ilvl w:val="0"/>
          <w:numId w:val="3"/>
        </w:numPr>
        <w:spacing w:after="60" w:line="264"/>
      </w:pPr>
      <w:r>
        <w:rPr>
          <w:rFonts w:ascii="Calibri" w:cs="Calibri" w:eastAsia="Calibri" w:hAnsi="Calibri"/>
          <w:color w:val="14181D"/>
          <w:sz w:val="21"/>
          <w:szCs w:val="21"/>
        </w:rPr>
        <w:t xml:space="preserve">Whether the scheme has a Secretary. The register records a Chairperson and a Treasurer and no Secretary, but the towing agreement was signed on the body corporate’s behalf as "Body Corporate Secretary". Form D asks who held which office, and the answer changes who may sign what.</w:t>
      </w:r>
    </w:p>
    <w:p>
      <w:pPr>
        <w:pStyle w:val="ListParagraph"/>
        <w:numPr>
          <w:ilvl w:val="0"/>
          <w:numId w:val="3"/>
        </w:numPr>
        <w:spacing w:after="60" w:line="264"/>
      </w:pPr>
      <w:r>
        <w:rPr>
          <w:rFonts w:ascii="Calibri" w:cs="Calibri" w:eastAsia="Calibri" w:hAnsi="Calibri"/>
          <w:color w:val="14181D"/>
          <w:sz w:val="21"/>
          <w:szCs w:val="21"/>
        </w:rPr>
        <w:t xml:space="preserve">A monitored email address for parking correspondence. It goes on every notice served on a resident, and it must reach more than one person and outlast whoever set it up.</w:t>
      </w:r>
    </w:p>
    <w:p>
      <w:pPr>
        <w:pStyle w:val="ListParagraph"/>
        <w:numPr>
          <w:ilvl w:val="0"/>
          <w:numId w:val="3"/>
        </w:numPr>
        <w:spacing w:after="60" w:line="264"/>
      </w:pPr>
      <w:r>
        <w:rPr>
          <w:rFonts w:ascii="Calibri" w:cs="Calibri" w:eastAsia="Calibri" w:hAnsi="Calibri"/>
          <w:color w:val="14181D"/>
          <w:sz w:val="21"/>
          <w:szCs w:val="21"/>
        </w:rPr>
        <w:t xml:space="preserve">Whether the onsite manager should be an authorised person under the towing agreement. The executed agreement names him as somebody who may request a tow. This procedure says he does not arrange or approve one, and an amendment removing the name has been asked of the contractor on that basis — which the Committee should either confirm or reverse, because until it issues the agreement and this procedure say different things.</w:t>
      </w:r>
    </w:p>
    <w:p>
      <w:pPr>
        <w:spacing w:after="160"/>
      </w:pPr>
    </w:p>
    <w:p>
      <w:pPr>
        <w:pBdr>
          <w:top w:val="single" w:color="C9C6BE" w:sz="4" w:space="10"/>
        </w:pBdr>
        <w:spacing w:after="120" w:before="320"/>
      </w:pPr>
      <w:r>
        <w:rPr>
          <w:rFonts w:ascii="Cambria" w:cs="Cambria" w:eastAsia="Cambria" w:hAnsi="Cambria"/>
          <w:b/>
          <w:bCs/>
          <w:color w:val="14181D"/>
          <w:sz w:val="28"/>
          <w:szCs w:val="28"/>
        </w:rPr>
        <w:t xml:space="preserve">Still to be completed</w:t>
      </w:r>
    </w:p>
    <w:p>
      <w:pPr>
        <w:spacing w:after="120" w:line="264"/>
      </w:pPr>
      <w:r>
        <w:rPr>
          <w:rFonts w:ascii="Calibri" w:cs="Calibri" w:eastAsia="Calibri" w:hAnsi="Calibri"/>
          <w:color w:val="14181D"/>
          <w:sz w:val="21"/>
          <w:szCs w:val="21"/>
        </w:rPr>
        <w:t xml:space="preserve">Ordinary set-up items rather than problems. They are listed so the Committee knows what is outstanding and can see when each is closed.</w:t>
      </w:r>
    </w:p>
    <w:p>
      <w:pPr>
        <w:pStyle w:val="ListParagraph"/>
        <w:numPr>
          <w:ilvl w:val="0"/>
          <w:numId w:val="1"/>
        </w:numPr>
        <w:spacing w:after="60" w:line="264"/>
      </w:pPr>
      <w:r>
        <w:rPr>
          <w:rFonts w:ascii="Calibri" w:cs="Calibri" w:eastAsia="Calibri" w:hAnsi="Calibri"/>
          <w:b/>
          <w:bCs/>
          <w:color w:val="14181D"/>
          <w:sz w:val="21"/>
          <w:szCs w:val="21"/>
        </w:rPr>
        <w:t xml:space="preserve">Photographs of the installed signage</w:t>
      </w:r>
      <w:r>
        <w:rPr>
          <w:rFonts w:ascii="Calibri" w:cs="Calibri" w:eastAsia="Calibri" w:hAnsi="Calibri"/>
          <w:color w:val="14181D"/>
          <w:sz w:val="21"/>
          <w:szCs w:val="21"/>
        </w:rPr>
        <w:t xml:space="preserve"> — the signs are up, their dimensions are recorded and the wording has been checked against the agreement; photographs are to be taken and filed as the dated evidence that they were up on the day.</w:t>
      </w:r>
    </w:p>
    <w:p>
      <w:pPr>
        <w:pStyle w:val="ListParagraph"/>
        <w:numPr>
          <w:ilvl w:val="0"/>
          <w:numId w:val="1"/>
        </w:numPr>
        <w:spacing w:after="60" w:line="264"/>
      </w:pPr>
      <w:r>
        <w:rPr>
          <w:rFonts w:ascii="Calibri" w:cs="Calibri" w:eastAsia="Calibri" w:hAnsi="Calibri"/>
          <w:b/>
          <w:bCs/>
          <w:color w:val="14181D"/>
          <w:sz w:val="21"/>
          <w:szCs w:val="21"/>
        </w:rPr>
        <w:t xml:space="preserve">Tenant details for let lots</w:t>
      </w:r>
      <w:r>
        <w:rPr>
          <w:rFonts w:ascii="Calibri" w:cs="Calibri" w:eastAsia="Calibri" w:hAnsi="Calibri"/>
          <w:color w:val="14181D"/>
          <w:sz w:val="21"/>
          <w:szCs w:val="21"/>
        </w:rPr>
        <w:t xml:space="preserve"> — roughly two lots in five are let and the roll names the owner rather than the occupier. Collected as leases are renewed.</w:t>
      </w:r>
    </w:p>
    <w:p>
      <w:pPr>
        <w:pStyle w:val="ListParagraph"/>
        <w:numPr>
          <w:ilvl w:val="0"/>
          <w:numId w:val="1"/>
        </w:numPr>
        <w:spacing w:after="60" w:line="264"/>
      </w:pPr>
      <w:r>
        <w:rPr>
          <w:rFonts w:ascii="Calibri" w:cs="Calibri" w:eastAsia="Calibri" w:hAnsi="Calibri"/>
          <w:b/>
          <w:bCs/>
          <w:color w:val="14181D"/>
          <w:sz w:val="21"/>
          <w:szCs w:val="21"/>
        </w:rPr>
        <w:t xml:space="preserve">The amendment to the towing agreement</w:t>
      </w:r>
      <w:r>
        <w:rPr>
          <w:rFonts w:ascii="Calibri" w:cs="Calibri" w:eastAsia="Calibri" w:hAnsi="Calibri"/>
          <w:color w:val="14181D"/>
          <w:sz w:val="21"/>
          <w:szCs w:val="21"/>
        </w:rPr>
        <w:t xml:space="preserve"> removing the onsite manager as an authorised person — asked of the contractor, not yet issued. Nothing turns on it in practice, because the procedure and the software both refuse to let him arrange a tow either way.</w:t>
      </w:r>
    </w:p>
    <w:p>
      <w:pPr>
        <w:pStyle w:val="ListParagraph"/>
        <w:numPr>
          <w:ilvl w:val="0"/>
          <w:numId w:val="1"/>
        </w:numPr>
        <w:spacing w:after="60" w:line="264"/>
      </w:pPr>
      <w:r>
        <w:rPr>
          <w:rFonts w:ascii="Calibri" w:cs="Calibri" w:eastAsia="Calibri" w:hAnsi="Calibri"/>
          <w:b/>
          <w:bCs/>
          <w:color w:val="14181D"/>
          <w:sz w:val="21"/>
          <w:szCs w:val="21"/>
        </w:rPr>
        <w:t xml:space="preserve">Registered vehicles</w:t>
      </w:r>
      <w:r>
        <w:rPr>
          <w:rFonts w:ascii="Calibri" w:cs="Calibri" w:eastAsia="Calibri" w:hAnsi="Calibri"/>
          <w:color w:val="14181D"/>
          <w:sz w:val="21"/>
          <w:szCs w:val="21"/>
        </w:rPr>
        <w:t xml:space="preserve"> — no resident has yet recorded a vehicle. Nothing depends on it, but a registered vehicle is what lets a car be matched to a lot before anybody is warned rather than after.</w:t>
      </w:r>
    </w:p>
    <w:p>
      <w:pPr>
        <w:spacing w:after="160"/>
      </w:pPr>
    </w:p>
    <w:p>
      <w:pPr>
        <w:pBdr>
          <w:top w:val="single" w:color="C9C6BE" w:sz="4" w:space="10"/>
        </w:pBdr>
        <w:spacing w:after="120" w:before="320"/>
      </w:pPr>
      <w:r>
        <w:rPr>
          <w:rFonts w:ascii="Cambria" w:cs="Cambria" w:eastAsia="Cambria" w:hAnsi="Cambria"/>
          <w:b/>
          <w:bCs/>
          <w:color w:val="14181D"/>
          <w:sz w:val="28"/>
          <w:szCs w:val="28"/>
        </w:rPr>
        <w:t xml:space="preserve">What is already in place</w:t>
      </w:r>
    </w:p>
    <w:p>
      <w:pPr>
        <w:spacing w:after="120" w:line="264"/>
      </w:pPr>
      <w:r>
        <w:rPr>
          <w:rFonts w:ascii="Calibri" w:cs="Calibri" w:eastAsia="Calibri" w:hAnsi="Calibri"/>
          <w:color w:val="14181D"/>
          <w:sz w:val="21"/>
          <w:szCs w:val="21"/>
        </w:rPr>
        <w:t xml:space="preserve">The procedure assumes each of these. They are stated so the Committee can check them rather than take them on trust.</w:t>
      </w:r>
    </w:p>
    <w:p>
      <w:pPr>
        <w:pStyle w:val="ListParagraph"/>
        <w:numPr>
          <w:ilvl w:val="0"/>
          <w:numId w:val="1"/>
        </w:numPr>
        <w:spacing w:after="60" w:line="264"/>
      </w:pPr>
      <w:r>
        <w:rPr>
          <w:rFonts w:ascii="Calibri" w:cs="Calibri" w:eastAsia="Calibri" w:hAnsi="Calibri"/>
          <w:b/>
          <w:bCs/>
          <w:color w:val="14181D"/>
          <w:sz w:val="21"/>
          <w:szCs w:val="21"/>
        </w:rPr>
        <w:t xml:space="preserve">The towing agreement.</w:t>
      </w:r>
      <w:r>
        <w:rPr>
          <w:rFonts w:ascii="Calibri" w:cs="Calibri" w:eastAsia="Calibri" w:hAnsi="Calibri"/>
          <w:color w:val="14181D"/>
          <w:sz w:val="21"/>
          <w:szCs w:val="21"/>
        </w:rPr>
        <w:t xml:space="preserve"> Private Property Towing Agreement PPTA-00309 with WETOW.COM.AU, signed 22 June 2026, running five years to 22 June 2031. Two clauses are worth knowing: if neither party gives one month’s written notice the term extends automatically by a further eleven months, and every request must go through WETOW.COM.AU rather than to a subcontractor directly, during the term and for twenty-four months after it.</w:t>
      </w:r>
    </w:p>
    <w:p>
      <w:pPr>
        <w:pStyle w:val="ListParagraph"/>
        <w:numPr>
          <w:ilvl w:val="0"/>
          <w:numId w:val="1"/>
        </w:numPr>
        <w:spacing w:after="60" w:line="264"/>
      </w:pPr>
      <w:r>
        <w:rPr>
          <w:rFonts w:ascii="Calibri" w:cs="Calibri" w:eastAsia="Calibri" w:hAnsi="Calibri"/>
          <w:b/>
          <w:bCs/>
          <w:color w:val="14181D"/>
          <w:sz w:val="21"/>
          <w:szCs w:val="21"/>
        </w:rPr>
        <w:t xml:space="preserve">The occupier’s consent to tow</w:t>
      </w:r>
      <w:r>
        <w:rPr>
          <w:rFonts w:ascii="Calibri" w:cs="Calibri" w:eastAsia="Calibri" w:hAnsi="Calibri"/>
          <w:color w:val="14181D"/>
          <w:sz w:val="21"/>
          <w:szCs w:val="21"/>
        </w:rPr>
        <w:t xml:space="preserve">, at clause 1.1 of that agreement — it appoints the contractor as the body corporate’s agent to remove unauthorised vehicles, so no separate instrument is needed.</w:t>
      </w:r>
    </w:p>
    <w:p>
      <w:pPr>
        <w:pStyle w:val="ListParagraph"/>
        <w:numPr>
          <w:ilvl w:val="0"/>
          <w:numId w:val="1"/>
        </w:numPr>
        <w:spacing w:after="60" w:line="264"/>
      </w:pPr>
      <w:r>
        <w:rPr>
          <w:rFonts w:ascii="Calibri" w:cs="Calibri" w:eastAsia="Calibri" w:hAnsi="Calibri"/>
          <w:b/>
          <w:bCs/>
          <w:color w:val="14181D"/>
          <w:sz w:val="21"/>
          <w:szCs w:val="21"/>
        </w:rPr>
        <w:t xml:space="preserve">The signage.</w:t>
      </w:r>
      <w:r>
        <w:rPr>
          <w:rFonts w:ascii="Calibri" w:cs="Calibri" w:eastAsia="Calibri" w:hAnsi="Calibri"/>
          <w:color w:val="14181D"/>
          <w:sz w:val="21"/>
          <w:szCs w:val="21"/>
        </w:rPr>
        <w:t xml:space="preserve"> 600 × 900 mm at the front entry and 450 × 600 mm through the complex, carrying the authorised purposes, the warning, the towing hours, the minimum charge and the retrieval number.</w:t>
      </w:r>
    </w:p>
    <w:p>
      <w:pPr>
        <w:pStyle w:val="ListParagraph"/>
        <w:numPr>
          <w:ilvl w:val="0"/>
          <w:numId w:val="1"/>
        </w:numPr>
        <w:spacing w:after="60" w:line="264"/>
      </w:pPr>
      <w:r>
        <w:rPr>
          <w:rFonts w:ascii="Calibri" w:cs="Calibri" w:eastAsia="Calibri" w:hAnsi="Calibri"/>
          <w:b/>
          <w:bCs/>
          <w:color w:val="14181D"/>
          <w:sz w:val="21"/>
          <w:szCs w:val="21"/>
        </w:rPr>
        <w:t xml:space="preserve">The by-law.</w:t>
      </w:r>
      <w:r>
        <w:rPr>
          <w:rFonts w:ascii="Calibri" w:cs="Calibri" w:eastAsia="Calibri" w:hAnsi="Calibri"/>
          <w:color w:val="14181D"/>
          <w:sz w:val="21"/>
          <w:szCs w:val="21"/>
        </w:rPr>
        <w:t xml:space="preserve"> Community management statement by-law 2.5 grants a visitor 24 hours. Everything in this procedure about visitor parking follows from it rather than from anything the Committee or the software has decided.</w:t>
      </w:r>
    </w:p>
    <w:p>
      <w:pPr>
        <w:spacing w:after="160"/>
      </w:pPr>
    </w:p>
    <w:p>
      <w:pPr>
        <w:pBdr>
          <w:top w:val="single" w:color="C9C6BE" w:sz="4" w:space="10"/>
        </w:pBdr>
        <w:spacing w:after="120" w:before="320"/>
      </w:pPr>
      <w:r>
        <w:rPr>
          <w:rFonts w:ascii="Cambria" w:cs="Cambria" w:eastAsia="Cambria" w:hAnsi="Cambria"/>
          <w:b/>
          <w:bCs/>
          <w:color w:val="14181D"/>
          <w:sz w:val="28"/>
          <w:szCs w:val="28"/>
        </w:rPr>
        <w:t xml:space="preserve">The application, if you want it</w:t>
      </w:r>
    </w:p>
    <w:p>
      <w:pPr>
        <w:spacing w:after="120" w:line="264"/>
      </w:pPr>
      <w:r>
        <w:rPr>
          <w:rFonts w:ascii="Calibri" w:cs="Calibri" w:eastAsia="Calibri" w:hAnsi="Calibri"/>
          <w:color w:val="14181D"/>
          <w:sz w:val="21"/>
          <w:szCs w:val="21"/>
        </w:rPr>
        <w:t xml:space="preserve">The same procedure, with the writing done for you: it fills in what it already knows, refuses the steps that are not yet safe, and keeps a tamper-evident record of who did what. It does not decide anything.</w:t>
      </w:r>
    </w:p>
    <w:p>
      <w:pPr>
        <w:spacing w:after="120" w:line="264"/>
      </w:pPr>
      <w:r>
        <w:rPr>
          <w:rFonts w:ascii="Calibri" w:cs="Calibri" w:eastAsia="Calibri" w:hAnsi="Calibri"/>
          <w:color w:val="4A5460"/>
          <w:sz w:val="19"/>
          <w:szCs w:val="19"/>
        </w:rPr>
        <w:t xml:space="preserve">If a link was sent with this note, it is a working copy holding the scheme’s real register — please treat it as you would the roll itself. If no link came with this, the pack above is complete and nothing is missing.</w:t>
      </w:r>
    </w:p>
    <w:p>
      <w:pPr>
        <w:spacing w:after="0" w:before="0" w:line="20"/>
      </w:pPr>
      <w:r>
        <w:rPr>
          <w:sz w:val="2"/>
          <w:szCs w:val="2"/>
        </w:rPr>
        <w:t xml:space="preserve"/>
      </w:r>
    </w:p>
    <w:sectPr>
      <w:headerReference w:type="default" r:id="rId7"/>
      <w:footerReference w:type="default" r:id="rId8"/>
      <w:pgSz w:w="11905" w:h="16837" w:orient="portrait"/>
      <w:pgMar w:top="1133" w:right="1020" w:bottom="1020" w:left="10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rFonts w:ascii="Calibri" w:cs="Calibri" w:eastAsia="Calibri" w:hAnsi="Calibri"/>
        <w:color w:val="4A5460"/>
        <w:sz w:val="15"/>
        <w:szCs w:val="15"/>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6BE" w:sz="4" w:space="6"/>
      </w:pBdr>
      <w:spacing w:after="200"/>
    </w:pPr>
    <w:r>
      <w:rPr>
        <w:rFonts w:ascii="Calibri" w:cs="Calibri" w:eastAsia="Calibri" w:hAnsi="Calibri"/>
        <w:color w:val="4A5460"/>
        <w:sz w:val="15"/>
        <w:szCs w:val="15"/>
      </w:rPr>
      <w:t xml:space="preserve">Parking and towing — a note for the Committee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480" w:hanging="300"/>
      </w:pPr>
      <w:rPr>
        <w:rFonts w:ascii="Calibri" w:cs="Calibri" w:eastAsia="Calibri" w:hAnsi="Calibri"/>
        <w:b/>
        <w:bCs/>
        <w:color w:val="1F4E79"/>
        <w:sz w:val="21"/>
        <w:szCs w:val="21"/>
      </w:rPr>
    </w:lvl>
  </w:abstractNum>
  <w:num w:numId="1">
    <w:abstractNumId w:val="1"/>
    <w:lvlOverride w:ilvl="0">
      <w:startOverride w:val="1"/>
    </w:lvlOverride>
  </w:num>
  <w:num w:numId="2">
    <w:abstractNumId w:val="2"/>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81D"/>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ListParagraph">
    <w:name w:val="List Paragraph"/>
    <w:basedOn w:val="Normal"/>
    <w:qFormat/>
    <w:pPr>
      <w:spacing w:after="60" w:line="264"/>
    </w:p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Parking and towing — a note for the Committee</dc:title>
  <dc:creator>Parking and towing administration</dc:creator>
  <dc:description>Paper fallback procedure for when the parking system is unavailable.</dc:description>
  <cp:lastModifiedBy>Un-named</cp:lastModifiedBy>
  <cp:revision>1</cp:revision>
  <dcterms:created xsi:type="dcterms:W3CDTF">2026-08-23T09:49:28.781Z</dcterms:created>
  <dcterms:modified xsi:type="dcterms:W3CDTF">2026-08-23T09:49:28.781Z</dcterms:modified>
</cp:coreProperties>
</file>

<file path=docProps/custom.xml><?xml version="1.0" encoding="utf-8"?>
<Properties xmlns="http://schemas.openxmlformats.org/officeDocument/2006/custom-properties" xmlns:vt="http://schemas.openxmlformats.org/officeDocument/2006/docPropsVTypes"/>
</file>